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45B0A8B" w14:textId="77777777" w:rsidR="007E48E8" w:rsidRDefault="00C942B6">
      <w:pPr>
        <w:pStyle w:val="Subtitle"/>
        <w:contextualSpacing w:val="0"/>
      </w:pPr>
      <w:bookmarkStart w:id="0" w:name="h.cdlea9vot31x" w:colFirst="0" w:colLast="0"/>
      <w:bookmarkEnd w:id="0"/>
      <w:r>
        <w:t>ELIXIR AAI task force</w:t>
      </w:r>
    </w:p>
    <w:p w14:paraId="33B025B4" w14:textId="77777777" w:rsidR="007E48E8" w:rsidRDefault="00C942B6">
      <w:pPr>
        <w:pStyle w:val="Title"/>
        <w:contextualSpacing w:val="0"/>
      </w:pPr>
      <w:bookmarkStart w:id="1" w:name="h.2cgn623ew9t9" w:colFirst="0" w:colLast="0"/>
      <w:bookmarkEnd w:id="1"/>
      <w:r>
        <w:t>Requirements on ELIXIR AAI</w:t>
      </w:r>
    </w:p>
    <w:p w14:paraId="56B0D2CD" w14:textId="346F9CF8" w:rsidR="00D33994" w:rsidRDefault="00D33994" w:rsidP="00D33994">
      <w:hyperlink r:id="rId8" w:history="1">
        <w:r w:rsidRPr="00310D6C">
          <w:rPr>
            <w:rStyle w:val="Hyperlink"/>
          </w:rPr>
          <w:t>Mikael.linden@csc.fi/19.2.2015</w:t>
        </w:r>
      </w:hyperlink>
    </w:p>
    <w:p w14:paraId="54A90FA6" w14:textId="77777777" w:rsidR="00D33994" w:rsidRPr="00D33994" w:rsidRDefault="00D33994" w:rsidP="00D33994">
      <w:bookmarkStart w:id="2" w:name="_GoBack"/>
      <w:bookmarkEnd w:id="2"/>
    </w:p>
    <w:p w14:paraId="68A18B1F" w14:textId="0C1135EE" w:rsidR="000B2AB3" w:rsidRDefault="000B2AB3" w:rsidP="000B2AB3">
      <w:r>
        <w:t xml:space="preserve">This document presents the requirements on the ELIXIR AAI (Authentication and </w:t>
      </w:r>
      <w:proofErr w:type="spellStart"/>
      <w:r>
        <w:t>Authorisation</w:t>
      </w:r>
      <w:proofErr w:type="spellEnd"/>
      <w:r>
        <w:t xml:space="preserve"> Infrastructure), the identity and access management infrastructure that ELIXIR provides to the ELIXIR services (called Relying Parties).</w:t>
      </w:r>
    </w:p>
    <w:p w14:paraId="7808FE50" w14:textId="77777777" w:rsidR="000B2AB3" w:rsidRDefault="000B2AB3" w:rsidP="000B2AB3"/>
    <w:p w14:paraId="0B4EB079" w14:textId="19B9D06E" w:rsidR="000B2AB3" w:rsidRDefault="000B2AB3" w:rsidP="000B2AB3">
      <w:r>
        <w:t>These requirements are based on the ELIXIR AAI Use case analysis. This document, in turn, will be used as the basis for the ELIXIR AAI design document.</w:t>
      </w:r>
    </w:p>
    <w:p w14:paraId="40BC7AA5" w14:textId="77777777" w:rsidR="000B2AB3" w:rsidRDefault="000B2AB3" w:rsidP="000B2AB3"/>
    <w:p w14:paraId="627B7CFB" w14:textId="2A35AEB8" w:rsidR="000B2AB3" w:rsidRPr="000B2AB3" w:rsidRDefault="000B2AB3" w:rsidP="000B2AB3">
      <w:r>
        <w:t>The ELIXIR AAI is expected to be deployed gradually, as part of the proposed EXCELERATE EC project.</w:t>
      </w:r>
    </w:p>
    <w:p w14:paraId="07A32E81" w14:textId="05774191" w:rsidR="007E48E8" w:rsidRDefault="009903AB">
      <w:pPr>
        <w:pStyle w:val="Heading1"/>
        <w:numPr>
          <w:ilvl w:val="0"/>
          <w:numId w:val="10"/>
        </w:numPr>
        <w:ind w:hanging="359"/>
      </w:pPr>
      <w:bookmarkStart w:id="3" w:name="h.j8qo5ku9o0q4" w:colFirst="0" w:colLast="0"/>
      <w:bookmarkEnd w:id="3"/>
      <w:r>
        <w:t>ELIXIR identity</w:t>
      </w:r>
    </w:p>
    <w:p w14:paraId="1A3BC29D" w14:textId="77777777" w:rsidR="007E48E8" w:rsidRDefault="007E48E8"/>
    <w:p w14:paraId="13687B22" w14:textId="372A83C8" w:rsidR="00C00431" w:rsidRDefault="00C00431">
      <w:r>
        <w:t xml:space="preserve">Any natural person can become an ELIXIR user </w:t>
      </w:r>
      <w:r w:rsidR="009F18B4">
        <w:t xml:space="preserve">by </w:t>
      </w:r>
      <w:r>
        <w:t>register</w:t>
      </w:r>
      <w:r w:rsidR="009F18B4">
        <w:t>ing</w:t>
      </w:r>
      <w:r>
        <w:t xml:space="preserve"> an ELIXIR identity. The user may need to commit to certain </w:t>
      </w:r>
      <w:r w:rsidR="000B2AB3">
        <w:t xml:space="preserve">baseline </w:t>
      </w:r>
      <w:r>
        <w:t xml:space="preserve">terms of use when registering the ELIXIR identity. </w:t>
      </w:r>
      <w:r w:rsidR="000B2AB3">
        <w:t>The exact content of the terms will be developed later.</w:t>
      </w:r>
    </w:p>
    <w:p w14:paraId="3D4E9E24" w14:textId="77777777" w:rsidR="00C00431" w:rsidRDefault="00C00431"/>
    <w:p w14:paraId="52256929" w14:textId="2A48937B" w:rsidR="00EF02C7" w:rsidRDefault="00C00431">
      <w:r>
        <w:t>A</w:t>
      </w:r>
      <w:r w:rsidR="00D62116">
        <w:t>n ELIXIR identity</w:t>
      </w:r>
      <w:r w:rsidR="00EF02C7">
        <w:t xml:space="preserve"> is</w:t>
      </w:r>
      <w:r>
        <w:t xml:space="preserve"> uniquely identified by an</w:t>
      </w:r>
      <w:r w:rsidR="00EF02C7">
        <w:t xml:space="preserve"> ELIXIR identifier. The Relying Parties are expected to use the ELIXIR identifier as the primary unique identifier of the user, although the Relying Parties may receive also other user </w:t>
      </w:r>
      <w:r w:rsidR="0030282D">
        <w:t xml:space="preserve">identifiers and </w:t>
      </w:r>
      <w:r w:rsidR="00EF02C7">
        <w:t xml:space="preserve">attributes. </w:t>
      </w:r>
    </w:p>
    <w:p w14:paraId="46D16F43" w14:textId="77777777" w:rsidR="00EF02C7" w:rsidRDefault="00EF02C7"/>
    <w:p w14:paraId="05B966C6" w14:textId="3ADED283" w:rsidR="003D199B" w:rsidRPr="003D199B" w:rsidRDefault="009903AB">
      <w:pPr>
        <w:rPr>
          <w:b/>
        </w:rPr>
      </w:pPr>
      <w:r>
        <w:rPr>
          <w:b/>
        </w:rPr>
        <w:t>ELIXIR identifier s</w:t>
      </w:r>
      <w:r w:rsidR="003D199B" w:rsidRPr="003D199B">
        <w:rPr>
          <w:b/>
        </w:rPr>
        <w:t>yntax</w:t>
      </w:r>
    </w:p>
    <w:p w14:paraId="359A90FF" w14:textId="77777777" w:rsidR="003D199B" w:rsidRDefault="003D199B"/>
    <w:p w14:paraId="1A8CEB23" w14:textId="77777777" w:rsidR="00EF02C7" w:rsidRDefault="00EF02C7">
      <w:r>
        <w:t>The ELIXIR identifier’s format has two parts:</w:t>
      </w:r>
    </w:p>
    <w:p w14:paraId="63324AC9" w14:textId="0E0F905F" w:rsidR="00EF02C7" w:rsidRDefault="0030282D" w:rsidP="00EF02C7">
      <w:pPr>
        <w:pStyle w:val="ListParagraph"/>
        <w:numPr>
          <w:ilvl w:val="0"/>
          <w:numId w:val="27"/>
        </w:numPr>
      </w:pPr>
      <w:r>
        <w:t>The f</w:t>
      </w:r>
      <w:r w:rsidR="00EF02C7">
        <w:t>irst part (syntax derived from Linux accounts</w:t>
      </w:r>
      <w:r w:rsidR="00EF02C7">
        <w:rPr>
          <w:rStyle w:val="FootnoteReference"/>
        </w:rPr>
        <w:footnoteReference w:id="1"/>
      </w:r>
      <w:r w:rsidR="00D62116">
        <w:t xml:space="preserve">) </w:t>
      </w:r>
      <w:r w:rsidR="00EF02C7">
        <w:t>begin</w:t>
      </w:r>
      <w:r w:rsidR="00D62116">
        <w:t>s</w:t>
      </w:r>
      <w:r w:rsidR="00EF02C7">
        <w:t xml:space="preserve"> with a lower case letter or an underscore, followed by lower case letters, digits, underscores, or dashes. They can end with a dollar sign. In regular expression terms: [a-z_</w:t>
      </w:r>
      <w:proofErr w:type="gramStart"/>
      <w:r w:rsidR="00EF02C7">
        <w:t>][</w:t>
      </w:r>
      <w:proofErr w:type="gramEnd"/>
      <w:r w:rsidR="00EF02C7">
        <w:t>a-z0-9_-]*[$]?</w:t>
      </w:r>
    </w:p>
    <w:p w14:paraId="3039D846" w14:textId="07C4D57B" w:rsidR="00EF02C7" w:rsidRDefault="00EF02C7" w:rsidP="00EF02C7">
      <w:pPr>
        <w:pStyle w:val="ListParagraph"/>
        <w:numPr>
          <w:ilvl w:val="0"/>
          <w:numId w:val="27"/>
        </w:numPr>
      </w:pPr>
      <w:r>
        <w:t xml:space="preserve">Second part which is </w:t>
      </w:r>
      <w:r w:rsidR="000B2AB3">
        <w:t xml:space="preserve">a </w:t>
      </w:r>
      <w:r>
        <w:t xml:space="preserve">fixed </w:t>
      </w:r>
      <w:r w:rsidR="000B2AB3">
        <w:t xml:space="preserve">string </w:t>
      </w:r>
      <w:r>
        <w:t>“@elixir-europe.org”</w:t>
      </w:r>
    </w:p>
    <w:p w14:paraId="6BA63AFF" w14:textId="77777777" w:rsidR="00EF02C7" w:rsidRDefault="00EF02C7"/>
    <w:p w14:paraId="17C3BF05" w14:textId="4B83D34B" w:rsidR="003D199B" w:rsidRPr="003D199B" w:rsidRDefault="003D199B">
      <w:pPr>
        <w:rPr>
          <w:b/>
        </w:rPr>
      </w:pPr>
      <w:r w:rsidRPr="003D199B">
        <w:rPr>
          <w:b/>
        </w:rPr>
        <w:t>Special identifiers</w:t>
      </w:r>
    </w:p>
    <w:p w14:paraId="3CBC1D7B" w14:textId="77777777" w:rsidR="003D199B" w:rsidRDefault="003D199B"/>
    <w:p w14:paraId="385C4F1A" w14:textId="79451DEA" w:rsidR="00EF02C7" w:rsidRDefault="00B411A4">
      <w:r>
        <w:t xml:space="preserve">The </w:t>
      </w:r>
      <w:r w:rsidR="00EF02C7">
        <w:t xml:space="preserve">ELIXIR identifiers beginning with underscore are dedicated to special purposes. </w:t>
      </w:r>
      <w:r w:rsidR="003D199B">
        <w:t xml:space="preserve">ELIXIR identifier “_test@elixir-europe.org” is a test account reserved for testing </w:t>
      </w:r>
      <w:r>
        <w:t xml:space="preserve">the </w:t>
      </w:r>
      <w:r w:rsidR="003D199B">
        <w:t>proper functioning of the ELIXIR AAI and the Relying Parties must not authorize it to access any valuable resources.</w:t>
      </w:r>
    </w:p>
    <w:p w14:paraId="7524C45E" w14:textId="1E7B49B9" w:rsidR="00EF02C7" w:rsidRDefault="00EF02C7"/>
    <w:p w14:paraId="4075B395" w14:textId="77777777" w:rsidR="00CD299F" w:rsidRPr="00CD299F" w:rsidRDefault="00CD299F" w:rsidP="00CD299F">
      <w:pPr>
        <w:rPr>
          <w:b/>
        </w:rPr>
      </w:pPr>
      <w:r w:rsidRPr="00CD299F">
        <w:rPr>
          <w:b/>
        </w:rPr>
        <w:t>Examples</w:t>
      </w:r>
    </w:p>
    <w:p w14:paraId="7E773C3C" w14:textId="77777777" w:rsidR="00CD299F" w:rsidRDefault="00CD299F" w:rsidP="00CD299F"/>
    <w:p w14:paraId="3F4EB339" w14:textId="77777777" w:rsidR="00CD299F" w:rsidRDefault="00CD299F" w:rsidP="00CD299F">
      <w:pPr>
        <w:pStyle w:val="ListParagraph"/>
        <w:numPr>
          <w:ilvl w:val="0"/>
          <w:numId w:val="28"/>
        </w:numPr>
      </w:pPr>
      <w:r w:rsidRPr="00CD299F">
        <w:lastRenderedPageBreak/>
        <w:t>bobs@elixir-europe.org</w:t>
      </w:r>
    </w:p>
    <w:p w14:paraId="493E5B10" w14:textId="77777777" w:rsidR="00CD299F" w:rsidRDefault="00CD299F" w:rsidP="00CD299F">
      <w:pPr>
        <w:pStyle w:val="ListParagraph"/>
        <w:numPr>
          <w:ilvl w:val="0"/>
          <w:numId w:val="28"/>
        </w:numPr>
      </w:pPr>
      <w:r>
        <w:t>123abc@elixir-europe.org</w:t>
      </w:r>
    </w:p>
    <w:p w14:paraId="783847FB" w14:textId="2E6AE1B1" w:rsidR="00CD299F" w:rsidRDefault="000B2AB3" w:rsidP="00CD299F">
      <w:pPr>
        <w:pStyle w:val="ListParagraph"/>
        <w:numPr>
          <w:ilvl w:val="0"/>
          <w:numId w:val="28"/>
        </w:numPr>
      </w:pPr>
      <w:r>
        <w:t>mikael_</w:t>
      </w:r>
      <w:r w:rsidR="00CD299F">
        <w:t>linden@elixir-europe.org</w:t>
      </w:r>
    </w:p>
    <w:p w14:paraId="222E59DA" w14:textId="77777777" w:rsidR="00CD299F" w:rsidRPr="00CD299F" w:rsidRDefault="00CD299F" w:rsidP="00CD299F">
      <w:pPr>
        <w:numPr>
          <w:ilvl w:val="0"/>
          <w:numId w:val="28"/>
        </w:numPr>
        <w:contextualSpacing/>
      </w:pPr>
      <w:r>
        <w:t>_test@elixir-europe.org</w:t>
      </w:r>
    </w:p>
    <w:p w14:paraId="170F4924" w14:textId="77777777" w:rsidR="00CD299F" w:rsidRDefault="00CD299F"/>
    <w:p w14:paraId="1381A123" w14:textId="38312FDF" w:rsidR="003D199B" w:rsidRPr="003D199B" w:rsidRDefault="003D199B">
      <w:pPr>
        <w:rPr>
          <w:b/>
        </w:rPr>
      </w:pPr>
      <w:r w:rsidRPr="003D199B">
        <w:rPr>
          <w:b/>
        </w:rPr>
        <w:t xml:space="preserve">Cardinalities, </w:t>
      </w:r>
      <w:r w:rsidR="00C00B4A">
        <w:rPr>
          <w:b/>
        </w:rPr>
        <w:t>changes</w:t>
      </w:r>
      <w:r w:rsidRPr="003D199B">
        <w:rPr>
          <w:b/>
        </w:rPr>
        <w:t xml:space="preserve"> and reassignment</w:t>
      </w:r>
      <w:r w:rsidR="009903AB">
        <w:rPr>
          <w:b/>
        </w:rPr>
        <w:t xml:space="preserve"> of identifiers</w:t>
      </w:r>
    </w:p>
    <w:p w14:paraId="1B4DD218" w14:textId="77777777" w:rsidR="003D199B" w:rsidRDefault="003D199B"/>
    <w:p w14:paraId="02A05BBE" w14:textId="1593B7AA" w:rsidR="003D199B" w:rsidRDefault="003D199B">
      <w:r>
        <w:t xml:space="preserve">The ELIXIR identifier represents a single natural person. It cannot represent a group of persons or a person that is currently acting in a specific role </w:t>
      </w:r>
      <w:r w:rsidR="0017053E">
        <w:t xml:space="preserve">(e.g. a position like “on-duty operations manager” </w:t>
      </w:r>
      <w:r>
        <w:t>that circulates</w:t>
      </w:r>
      <w:r w:rsidR="00C00B4A">
        <w:t xml:space="preserve"> among</w:t>
      </w:r>
      <w:r>
        <w:t xml:space="preserve"> a pool of persons</w:t>
      </w:r>
      <w:r w:rsidR="0017053E">
        <w:t>)</w:t>
      </w:r>
      <w:r>
        <w:t xml:space="preserve">. </w:t>
      </w:r>
    </w:p>
    <w:p w14:paraId="26653FB8" w14:textId="77777777" w:rsidR="003D199B" w:rsidRDefault="003D199B"/>
    <w:p w14:paraId="154A36BC" w14:textId="6C25B142" w:rsidR="003D199B" w:rsidRDefault="0017053E">
      <w:r>
        <w:t>A single person can have several ELIXIR identifiers. While this is not desirable and probably confusing especially for the person him/herself, there is no practical means to enforce a strict</w:t>
      </w:r>
      <w:r w:rsidR="0030282D">
        <w:t>er</w:t>
      </w:r>
      <w:r>
        <w:t xml:space="preserve"> policy.</w:t>
      </w:r>
    </w:p>
    <w:p w14:paraId="382A9657" w14:textId="77777777" w:rsidR="00C00B4A" w:rsidRDefault="00C00B4A"/>
    <w:p w14:paraId="54D66830" w14:textId="5EAD4016" w:rsidR="00C00B4A" w:rsidRDefault="00C00B4A">
      <w:r>
        <w:t>The ELIXIR identifier cannot change i.e. be replaced by another identifier belonging to the same person. The initial choice of the identifier is expected to take this into account (e.g. not use f</w:t>
      </w:r>
      <w:r w:rsidR="00CD299F">
        <w:t>amily name</w:t>
      </w:r>
      <w:r>
        <w:t xml:space="preserve"> if </w:t>
      </w:r>
      <w:r w:rsidR="00CD299F">
        <w:t xml:space="preserve">the person wants to change it </w:t>
      </w:r>
      <w:r>
        <w:t>due to marriage/divorce).</w:t>
      </w:r>
      <w:r w:rsidR="00CD299F">
        <w:t xml:space="preserve"> The ELIXIR identifier does not change if the person changes his/her affiliation.</w:t>
      </w:r>
    </w:p>
    <w:p w14:paraId="2923E808" w14:textId="77777777" w:rsidR="00C00B4A" w:rsidRDefault="00C00B4A"/>
    <w:p w14:paraId="007799BB" w14:textId="6B9993EA" w:rsidR="00C00B4A" w:rsidRDefault="00C00B4A">
      <w:r>
        <w:t xml:space="preserve">The ELIXIR identifier cannot be re-assigned i.e. </w:t>
      </w:r>
      <w:r w:rsidR="00B411A4">
        <w:t xml:space="preserve">revoked and subsequently </w:t>
      </w:r>
      <w:r>
        <w:t>assigned to another person.</w:t>
      </w:r>
    </w:p>
    <w:p w14:paraId="374EEEEF" w14:textId="77777777" w:rsidR="00CD299F" w:rsidRDefault="00CD299F">
      <w:pPr>
        <w:rPr>
          <w:b/>
        </w:rPr>
      </w:pPr>
    </w:p>
    <w:p w14:paraId="7DCC6639" w14:textId="77777777" w:rsidR="00B411A4" w:rsidRDefault="000A4FD8" w:rsidP="000A4FD8">
      <w:pPr>
        <w:contextualSpacing/>
        <w:rPr>
          <w:b/>
        </w:rPr>
      </w:pPr>
      <w:r w:rsidRPr="000A4FD8">
        <w:rPr>
          <w:b/>
        </w:rPr>
        <w:t>Current affiliation(s)</w:t>
      </w:r>
      <w:r>
        <w:rPr>
          <w:b/>
        </w:rPr>
        <w:t xml:space="preserve"> attribute</w:t>
      </w:r>
      <w:r w:rsidR="00B411A4">
        <w:rPr>
          <w:b/>
        </w:rPr>
        <w:t xml:space="preserve"> of an ELIXIR user</w:t>
      </w:r>
    </w:p>
    <w:p w14:paraId="453DC8E2" w14:textId="257AA067" w:rsidR="000A4FD8" w:rsidRDefault="000A4FD8" w:rsidP="000A4FD8">
      <w:pPr>
        <w:contextualSpacing/>
      </w:pPr>
      <w:r>
        <w:t xml:space="preserve"> </w:t>
      </w:r>
    </w:p>
    <w:p w14:paraId="4854AB51" w14:textId="102D730C" w:rsidR="000A4FD8" w:rsidRDefault="000A4FD8" w:rsidP="000A4FD8">
      <w:pPr>
        <w:contextualSpacing/>
      </w:pPr>
      <w:r>
        <w:t xml:space="preserve">The current affiliation attribute </w:t>
      </w:r>
      <w:r w:rsidR="0035688B">
        <w:t xml:space="preserve">is a multivalued attribute that </w:t>
      </w:r>
      <w:r>
        <w:t>indicates the organization(s) (</w:t>
      </w:r>
      <w:r w:rsidR="00863893">
        <w:t xml:space="preserve">called a home organization, </w:t>
      </w:r>
      <w:r>
        <w:t>such as a research institution or private company) the end user is currently affiliated with</w:t>
      </w:r>
      <w:r w:rsidR="0030282D">
        <w:t xml:space="preserve"> and the type of the affiliation</w:t>
      </w:r>
      <w:r w:rsidR="00863893">
        <w:t xml:space="preserve">. A user can have several home </w:t>
      </w:r>
      <w:proofErr w:type="spellStart"/>
      <w:r w:rsidR="00863893">
        <w:t>organisations</w:t>
      </w:r>
      <w:proofErr w:type="spellEnd"/>
      <w:r w:rsidR="00863893">
        <w:t xml:space="preserve"> at the same time, if he/she for example works or studies in several </w:t>
      </w:r>
      <w:proofErr w:type="spellStart"/>
      <w:r w:rsidR="00863893">
        <w:t>organisations</w:t>
      </w:r>
      <w:proofErr w:type="spellEnd"/>
      <w:r w:rsidR="00863893">
        <w:t xml:space="preserve"> in parallel. </w:t>
      </w:r>
      <w:r>
        <w:t xml:space="preserve">The Relying Parties who need to close access rights on an affiliation change can monitor changes in the attribute. </w:t>
      </w:r>
    </w:p>
    <w:p w14:paraId="677E385A" w14:textId="77777777" w:rsidR="0035688B" w:rsidRDefault="0035688B" w:rsidP="000A4FD8">
      <w:pPr>
        <w:contextualSpacing/>
      </w:pPr>
    </w:p>
    <w:p w14:paraId="7044C2C3" w14:textId="517CE7CC" w:rsidR="0035688B" w:rsidRDefault="00D62116" w:rsidP="000A4FD8">
      <w:pPr>
        <w:contextualSpacing/>
      </w:pPr>
      <w:r>
        <w:t>The syntax and semantic</w:t>
      </w:r>
      <w:r w:rsidR="0035688B">
        <w:t xml:space="preserve"> of the attribute</w:t>
      </w:r>
      <w:r>
        <w:t xml:space="preserve"> follows the</w:t>
      </w:r>
      <w:r w:rsidR="0035688B">
        <w:t xml:space="preserve"> </w:t>
      </w:r>
      <w:proofErr w:type="spellStart"/>
      <w:r w:rsidR="0035688B">
        <w:t>eduPersonScopedAffiliation</w:t>
      </w:r>
      <w:proofErr w:type="spellEnd"/>
      <w:r w:rsidR="0035688B">
        <w:t xml:space="preserve"> </w:t>
      </w:r>
      <w:r>
        <w:t xml:space="preserve">attribute </w:t>
      </w:r>
      <w:r w:rsidR="0035688B">
        <w:t xml:space="preserve">defined in </w:t>
      </w:r>
      <w:proofErr w:type="spellStart"/>
      <w:r w:rsidR="0035688B">
        <w:t>eduPerson</w:t>
      </w:r>
      <w:proofErr w:type="spellEnd"/>
      <w:r w:rsidR="0035688B">
        <w:t xml:space="preserve"> schema (version 201310</w:t>
      </w:r>
      <w:r w:rsidR="0035688B">
        <w:rPr>
          <w:rStyle w:val="FootnoteReference"/>
        </w:rPr>
        <w:footnoteReference w:id="2"/>
      </w:r>
      <w:r w:rsidR="0035688B">
        <w:t xml:space="preserve">). Following values are recommended </w:t>
      </w:r>
      <w:r w:rsidR="00C466A2">
        <w:t xml:space="preserve">for use </w:t>
      </w:r>
      <w:r w:rsidR="0035688B">
        <w:t>to the left of the “@” sign:</w:t>
      </w:r>
    </w:p>
    <w:tbl>
      <w:tblPr>
        <w:tblStyle w:val="TableGrid"/>
        <w:tblW w:w="0" w:type="auto"/>
        <w:tblLook w:val="04A0" w:firstRow="1" w:lastRow="0" w:firstColumn="1" w:lastColumn="0" w:noHBand="0" w:noVBand="1"/>
      </w:tblPr>
      <w:tblGrid>
        <w:gridCol w:w="1668"/>
        <w:gridCol w:w="7908"/>
      </w:tblGrid>
      <w:tr w:rsidR="0035688B" w14:paraId="0A8B2D58" w14:textId="77777777" w:rsidTr="0035688B">
        <w:tc>
          <w:tcPr>
            <w:tcW w:w="1668" w:type="dxa"/>
          </w:tcPr>
          <w:p w14:paraId="510E260C" w14:textId="25CA26F1" w:rsidR="0035688B" w:rsidRDefault="00863893" w:rsidP="000A4FD8">
            <w:pPr>
              <w:contextualSpacing/>
            </w:pPr>
            <w:r>
              <w:t>F</w:t>
            </w:r>
            <w:r w:rsidR="0035688B">
              <w:t>aculty</w:t>
            </w:r>
          </w:p>
        </w:tc>
        <w:tc>
          <w:tcPr>
            <w:tcW w:w="7908" w:type="dxa"/>
          </w:tcPr>
          <w:p w14:paraId="29B88E2D" w14:textId="77777777" w:rsidR="002A1110" w:rsidRDefault="0035688B" w:rsidP="00863893">
            <w:pPr>
              <w:contextualSpacing/>
            </w:pPr>
            <w:r>
              <w:t>The person is</w:t>
            </w:r>
            <w:r w:rsidR="00863893">
              <w:t xml:space="preserve"> a researcher or teacher </w:t>
            </w:r>
            <w:r w:rsidR="00824C62">
              <w:t xml:space="preserve">in </w:t>
            </w:r>
            <w:r w:rsidR="00863893">
              <w:t xml:space="preserve">his/her home organization. </w:t>
            </w:r>
          </w:p>
          <w:p w14:paraId="4B385EDF" w14:textId="77777777" w:rsidR="002A1110" w:rsidRDefault="002A1110" w:rsidP="00863893">
            <w:pPr>
              <w:contextualSpacing/>
            </w:pPr>
          </w:p>
          <w:p w14:paraId="26D6691C" w14:textId="2833184F" w:rsidR="0035688B" w:rsidRDefault="00863893" w:rsidP="00863893">
            <w:pPr>
              <w:contextualSpacing/>
            </w:pPr>
            <w:r>
              <w:t>The exact interpretation is left to the home organization, but the intention is that the primary focus of the person in his/her home organization is in research and education.</w:t>
            </w:r>
          </w:p>
        </w:tc>
      </w:tr>
      <w:tr w:rsidR="0035688B" w14:paraId="76B08036" w14:textId="77777777" w:rsidTr="0035688B">
        <w:tc>
          <w:tcPr>
            <w:tcW w:w="1668" w:type="dxa"/>
          </w:tcPr>
          <w:p w14:paraId="1EE700ED" w14:textId="003C2E35" w:rsidR="0035688B" w:rsidRDefault="00863893" w:rsidP="000A4FD8">
            <w:pPr>
              <w:contextualSpacing/>
            </w:pPr>
            <w:r>
              <w:t>M</w:t>
            </w:r>
            <w:r w:rsidR="00C466A2">
              <w:t>ember</w:t>
            </w:r>
          </w:p>
        </w:tc>
        <w:tc>
          <w:tcPr>
            <w:tcW w:w="7908" w:type="dxa"/>
          </w:tcPr>
          <w:p w14:paraId="345F4FBD" w14:textId="77777777" w:rsidR="002A1110" w:rsidRDefault="00C466A2" w:rsidP="002A1110">
            <w:pPr>
              <w:contextualSpacing/>
            </w:pPr>
            <w:r>
              <w:t xml:space="preserve">"Member" is intended to include faculty, staff, student, and other persons with a full set of basic privileges that go with membership in the home </w:t>
            </w:r>
            <w:proofErr w:type="spellStart"/>
            <w:r>
              <w:t>organisation</w:t>
            </w:r>
            <w:proofErr w:type="spellEnd"/>
            <w:r>
              <w:t xml:space="preserve">, </w:t>
            </w:r>
            <w:r>
              <w:lastRenderedPageBreak/>
              <w:t xml:space="preserve">as defined in </w:t>
            </w:r>
            <w:proofErr w:type="spellStart"/>
            <w:r>
              <w:t>eduPerson</w:t>
            </w:r>
            <w:proofErr w:type="spellEnd"/>
            <w:r w:rsidR="00824C62">
              <w:t>.</w:t>
            </w:r>
            <w:r w:rsidR="00863893">
              <w:t xml:space="preserve"> </w:t>
            </w:r>
          </w:p>
          <w:p w14:paraId="039C997A" w14:textId="77777777" w:rsidR="002A1110" w:rsidRDefault="002A1110" w:rsidP="002A1110">
            <w:pPr>
              <w:contextualSpacing/>
            </w:pPr>
          </w:p>
          <w:p w14:paraId="1F1B559F" w14:textId="4782E51E" w:rsidR="00824C62" w:rsidRDefault="00863893" w:rsidP="002A1110">
            <w:pPr>
              <w:contextualSpacing/>
            </w:pPr>
            <w:r>
              <w:t xml:space="preserve">In contrast to “faculty”, </w:t>
            </w:r>
            <w:r w:rsidR="002A1110">
              <w:t xml:space="preserve">among other things, </w:t>
            </w:r>
            <w:r>
              <w:t>this covers positions with managerial and</w:t>
            </w:r>
            <w:r w:rsidR="002A1110">
              <w:t xml:space="preserve"> service</w:t>
            </w:r>
            <w:r>
              <w:t xml:space="preserve"> focus, such as service management or IT support.</w:t>
            </w:r>
          </w:p>
        </w:tc>
      </w:tr>
      <w:tr w:rsidR="00C466A2" w14:paraId="2E27172C" w14:textId="77777777" w:rsidTr="0035688B">
        <w:tc>
          <w:tcPr>
            <w:tcW w:w="1668" w:type="dxa"/>
          </w:tcPr>
          <w:p w14:paraId="37D66953" w14:textId="7258DC8B" w:rsidR="00C466A2" w:rsidRDefault="00863893" w:rsidP="00C466A2">
            <w:pPr>
              <w:contextualSpacing/>
            </w:pPr>
            <w:r>
              <w:lastRenderedPageBreak/>
              <w:t>A</w:t>
            </w:r>
            <w:r w:rsidR="00C466A2">
              <w:t>ffiliate</w:t>
            </w:r>
          </w:p>
        </w:tc>
        <w:tc>
          <w:tcPr>
            <w:tcW w:w="7908" w:type="dxa"/>
          </w:tcPr>
          <w:p w14:paraId="37936F71" w14:textId="4393218D" w:rsidR="00C466A2" w:rsidRDefault="00C466A2" w:rsidP="00C466A2">
            <w:pPr>
              <w:contextualSpacing/>
            </w:pPr>
            <w:r>
              <w:t xml:space="preserve">The "affiliate" value for </w:t>
            </w:r>
            <w:proofErr w:type="spellStart"/>
            <w:r>
              <w:t>eduPersonAffiliation</w:t>
            </w:r>
            <w:proofErr w:type="spellEnd"/>
            <w:r>
              <w:t xml:space="preserve"> indicates that the holder has some definable affiliation to the university NOT captured by any of faculty, staff, student, employee, alum and/or member.</w:t>
            </w:r>
          </w:p>
        </w:tc>
      </w:tr>
    </w:tbl>
    <w:p w14:paraId="31BBD0ED" w14:textId="2A2BF66B" w:rsidR="0035688B" w:rsidRDefault="0035688B" w:rsidP="000A4FD8">
      <w:pPr>
        <w:contextualSpacing/>
      </w:pPr>
    </w:p>
    <w:p w14:paraId="1800EB78" w14:textId="10B714D8" w:rsidR="00824C62" w:rsidRDefault="00824C62" w:rsidP="000A4FD8">
      <w:pPr>
        <w:contextualSpacing/>
      </w:pPr>
      <w:r>
        <w:t xml:space="preserve">In other words, if a person has “faculty” affiliation with a certain organization, he/she has also the “member” affiliation. However, that does not apply in a reverse order. </w:t>
      </w:r>
      <w:r w:rsidR="00B411A4">
        <w:t>Furthermore, t</w:t>
      </w:r>
      <w:r>
        <w:t>hose persons who do not qualify to member have an affiliation of “affiliate”.</w:t>
      </w:r>
    </w:p>
    <w:p w14:paraId="3378B35C" w14:textId="77777777" w:rsidR="00824C62" w:rsidRDefault="00824C62" w:rsidP="000A4FD8">
      <w:pPr>
        <w:contextualSpacing/>
      </w:pPr>
    </w:p>
    <w:p w14:paraId="788BB8E9" w14:textId="77777777" w:rsidR="00824C62" w:rsidRDefault="00824C62" w:rsidP="00824C62">
      <w:pPr>
        <w:contextualSpacing/>
      </w:pPr>
      <w:r>
        <w:t>Examples</w:t>
      </w:r>
    </w:p>
    <w:p w14:paraId="2341A939" w14:textId="77777777" w:rsidR="00824C62" w:rsidRDefault="00D33994" w:rsidP="00824C62">
      <w:pPr>
        <w:pStyle w:val="ListParagraph"/>
        <w:numPr>
          <w:ilvl w:val="0"/>
          <w:numId w:val="31"/>
        </w:numPr>
      </w:pPr>
      <w:hyperlink r:id="rId9" w:history="1">
        <w:r w:rsidR="00824C62" w:rsidRPr="00ED5D4D">
          <w:rPr>
            <w:rStyle w:val="Hyperlink"/>
          </w:rPr>
          <w:t>faculty@helsinki.fi</w:t>
        </w:r>
      </w:hyperlink>
    </w:p>
    <w:p w14:paraId="2905BCCF" w14:textId="77777777" w:rsidR="00824C62" w:rsidRPr="009903AB" w:rsidRDefault="00D33994" w:rsidP="00824C62">
      <w:pPr>
        <w:pStyle w:val="ListParagraph"/>
        <w:numPr>
          <w:ilvl w:val="0"/>
          <w:numId w:val="31"/>
        </w:numPr>
      </w:pPr>
      <w:hyperlink r:id="rId10" w:history="1">
        <w:r w:rsidR="00824C62" w:rsidRPr="00ED5D4D">
          <w:rPr>
            <w:rStyle w:val="Hyperlink"/>
          </w:rPr>
          <w:t>member@ebi.ac.uk</w:t>
        </w:r>
      </w:hyperlink>
      <w:r w:rsidR="00824C62">
        <w:t xml:space="preserve"> </w:t>
      </w:r>
    </w:p>
    <w:p w14:paraId="505CED1A" w14:textId="77777777" w:rsidR="00824C62" w:rsidRDefault="00824C62" w:rsidP="000A4FD8">
      <w:pPr>
        <w:contextualSpacing/>
      </w:pPr>
    </w:p>
    <w:p w14:paraId="09A337B1" w14:textId="5AA74E60" w:rsidR="000A4FD8" w:rsidRDefault="00C466A2" w:rsidP="000A4FD8">
      <w:pPr>
        <w:contextualSpacing/>
      </w:pPr>
      <w:r>
        <w:t xml:space="preserve">To become a holder of the </w:t>
      </w:r>
      <w:r w:rsidRPr="00C466A2">
        <w:rPr>
          <w:b/>
        </w:rPr>
        <w:t>faculty or member attribute</w:t>
      </w:r>
      <w:r w:rsidR="00B411A4">
        <w:rPr>
          <w:b/>
        </w:rPr>
        <w:t xml:space="preserve"> value</w:t>
      </w:r>
      <w:r w:rsidRPr="00C466A2">
        <w:rPr>
          <w:b/>
        </w:rPr>
        <w:t>s</w:t>
      </w:r>
      <w:r w:rsidR="00824C62">
        <w:t xml:space="preserve"> in ELIXIR AAI,</w:t>
      </w:r>
      <w:r>
        <w:t xml:space="preserve"> the user must either</w:t>
      </w:r>
    </w:p>
    <w:p w14:paraId="4847E344" w14:textId="7FD6672B" w:rsidR="00C466A2" w:rsidRDefault="00C466A2" w:rsidP="00C466A2">
      <w:pPr>
        <w:pStyle w:val="ListParagraph"/>
        <w:numPr>
          <w:ilvl w:val="0"/>
          <w:numId w:val="30"/>
        </w:numPr>
      </w:pPr>
      <w:r>
        <w:t xml:space="preserve">Perform federated login to ELIXIR AAI using his/her home </w:t>
      </w:r>
      <w:proofErr w:type="spellStart"/>
      <w:r>
        <w:t>organisation’s</w:t>
      </w:r>
      <w:proofErr w:type="spellEnd"/>
      <w:r>
        <w:t xml:space="preserve"> credentials, during which the home organization releases the related </w:t>
      </w:r>
      <w:proofErr w:type="spellStart"/>
      <w:r>
        <w:t>eduPersonAffiliation</w:t>
      </w:r>
      <w:proofErr w:type="spellEnd"/>
      <w:r>
        <w:t xml:space="preserve"> or </w:t>
      </w:r>
      <w:proofErr w:type="spellStart"/>
      <w:r>
        <w:t>eduPersonScopedAffiliation</w:t>
      </w:r>
      <w:proofErr w:type="spellEnd"/>
      <w:r>
        <w:t xml:space="preserve"> attribute, or</w:t>
      </w:r>
    </w:p>
    <w:p w14:paraId="7715C99D" w14:textId="52E41DDF" w:rsidR="00C466A2" w:rsidRDefault="00C466A2" w:rsidP="00C466A2">
      <w:pPr>
        <w:pStyle w:val="ListParagraph"/>
        <w:numPr>
          <w:ilvl w:val="0"/>
          <w:numId w:val="30"/>
        </w:numPr>
      </w:pPr>
      <w:r>
        <w:t xml:space="preserve">Be assigned that identifier by his/her home </w:t>
      </w:r>
      <w:proofErr w:type="spellStart"/>
      <w:r>
        <w:t>organisation’s</w:t>
      </w:r>
      <w:proofErr w:type="spellEnd"/>
      <w:r>
        <w:t xml:space="preserve"> ELIXIR coordinator</w:t>
      </w:r>
    </w:p>
    <w:p w14:paraId="7E7B010D" w14:textId="77777777" w:rsidR="00C466A2" w:rsidRDefault="00C466A2" w:rsidP="000A4FD8">
      <w:pPr>
        <w:contextualSpacing/>
      </w:pPr>
    </w:p>
    <w:p w14:paraId="7C9A7EB7" w14:textId="5F76A3A5" w:rsidR="00C466A2" w:rsidRDefault="00D62116" w:rsidP="000A4FD8">
      <w:pPr>
        <w:contextualSpacing/>
      </w:pPr>
      <w:r>
        <w:t>To bec</w:t>
      </w:r>
      <w:r w:rsidR="00C466A2">
        <w:t xml:space="preserve">ome a holder of the </w:t>
      </w:r>
      <w:r w:rsidR="00C466A2" w:rsidRPr="00C466A2">
        <w:rPr>
          <w:b/>
        </w:rPr>
        <w:t>affiliate attribute</w:t>
      </w:r>
      <w:r w:rsidR="00B411A4">
        <w:rPr>
          <w:b/>
        </w:rPr>
        <w:t xml:space="preserve"> value</w:t>
      </w:r>
      <w:r w:rsidR="00C466A2">
        <w:t>, the user must either</w:t>
      </w:r>
    </w:p>
    <w:p w14:paraId="6A8B6176" w14:textId="0D92E76A" w:rsidR="00C466A2" w:rsidRDefault="00916324" w:rsidP="00C466A2">
      <w:pPr>
        <w:pStyle w:val="ListParagraph"/>
        <w:numPr>
          <w:ilvl w:val="0"/>
          <w:numId w:val="30"/>
        </w:numPr>
      </w:pPr>
      <w:r>
        <w:t>Use either of the two alternatives above,</w:t>
      </w:r>
      <w:r w:rsidR="00C466A2">
        <w:t xml:space="preserve"> or</w:t>
      </w:r>
    </w:p>
    <w:p w14:paraId="0026DAC4" w14:textId="313D60EE" w:rsidR="00C466A2" w:rsidRDefault="00C466A2" w:rsidP="00C466A2">
      <w:pPr>
        <w:pStyle w:val="ListParagraph"/>
        <w:numPr>
          <w:ilvl w:val="0"/>
          <w:numId w:val="30"/>
        </w:numPr>
      </w:pPr>
      <w:r>
        <w:t xml:space="preserve">Demonstrate he/she controls an e-mail address that belongs to the </w:t>
      </w:r>
      <w:r w:rsidR="00E66C08">
        <w:t xml:space="preserve">home </w:t>
      </w:r>
      <w:proofErr w:type="spellStart"/>
      <w:r w:rsidR="00E66C08">
        <w:t>organisation</w:t>
      </w:r>
      <w:proofErr w:type="spellEnd"/>
    </w:p>
    <w:p w14:paraId="606703EE" w14:textId="77777777" w:rsidR="00C466A2" w:rsidRDefault="00C466A2" w:rsidP="000A4FD8">
      <w:pPr>
        <w:contextualSpacing/>
      </w:pPr>
    </w:p>
    <w:p w14:paraId="74140E15" w14:textId="6570EAEC" w:rsidR="000A4FD8" w:rsidRDefault="000A4FD8" w:rsidP="00E66C08">
      <w:pPr>
        <w:contextualSpacing/>
      </w:pPr>
      <w:r>
        <w:t xml:space="preserve">The freshness of the attribute </w:t>
      </w:r>
      <w:r w:rsidR="00916324">
        <w:t>value</w:t>
      </w:r>
      <w:r w:rsidR="00B411A4">
        <w:t>s</w:t>
      </w:r>
      <w:r w:rsidR="00916324">
        <w:t xml:space="preserve"> </w:t>
      </w:r>
      <w:r>
        <w:t xml:space="preserve">is </w:t>
      </w:r>
      <w:r w:rsidR="00916324">
        <w:t>g</w:t>
      </w:r>
      <w:r>
        <w:t>uaranteed by</w:t>
      </w:r>
      <w:r w:rsidR="00E66C08">
        <w:t xml:space="preserve"> asking him/her to refresh the value every 12 months using the procedure described above.</w:t>
      </w:r>
      <w:r w:rsidR="00F7202B">
        <w:t xml:space="preserve"> </w:t>
      </w:r>
    </w:p>
    <w:p w14:paraId="4A4BC739" w14:textId="77777777" w:rsidR="00F7202B" w:rsidRDefault="00F7202B" w:rsidP="00E66C08">
      <w:pPr>
        <w:contextualSpacing/>
      </w:pPr>
    </w:p>
    <w:p w14:paraId="5FB91910" w14:textId="404E2D5D" w:rsidR="00F7202B" w:rsidRDefault="00F7202B" w:rsidP="00E66C08">
      <w:pPr>
        <w:contextualSpacing/>
      </w:pPr>
      <w:r>
        <w:t>There must be a mechanism to revoke a person’s affiliation immediately if needed.</w:t>
      </w:r>
    </w:p>
    <w:p w14:paraId="122F1BCF" w14:textId="77777777" w:rsidR="00F7202B" w:rsidRDefault="00F7202B" w:rsidP="00E66C08">
      <w:pPr>
        <w:contextualSpacing/>
      </w:pPr>
    </w:p>
    <w:p w14:paraId="344A9191" w14:textId="4C9C787D" w:rsidR="00F7202B" w:rsidRDefault="00F7202B" w:rsidP="00E66C08">
      <w:pPr>
        <w:contextualSpacing/>
      </w:pPr>
      <w:r>
        <w:t>The operations of ELIXIR AAI must have a support process to help ELIXIR users who change their affiliation. The support process must help the user at least to associate h</w:t>
      </w:r>
      <w:r w:rsidR="002A1110">
        <w:t>er/h</w:t>
      </w:r>
      <w:r>
        <w:t>is new institutional identifier to his/her existing ELIXIR identity.</w:t>
      </w:r>
    </w:p>
    <w:p w14:paraId="4C2046EE" w14:textId="77777777" w:rsidR="009903AB" w:rsidRDefault="009903AB">
      <w:pPr>
        <w:rPr>
          <w:b/>
        </w:rPr>
      </w:pPr>
    </w:p>
    <w:p w14:paraId="684D8427" w14:textId="28205D3C" w:rsidR="00916324" w:rsidRDefault="00916324">
      <w:pPr>
        <w:rPr>
          <w:b/>
        </w:rPr>
      </w:pPr>
      <w:r>
        <w:rPr>
          <w:b/>
        </w:rPr>
        <w:t>Other attributes</w:t>
      </w:r>
    </w:p>
    <w:p w14:paraId="7CA58D73" w14:textId="77777777" w:rsidR="00916324" w:rsidRDefault="00916324"/>
    <w:p w14:paraId="75E30585" w14:textId="26179947" w:rsidR="00916324" w:rsidRDefault="00916324">
      <w:r>
        <w:t>Following external identifiers can be associated to the ELIXIR identity</w:t>
      </w:r>
    </w:p>
    <w:p w14:paraId="2157C870" w14:textId="725FFFAC" w:rsidR="00916324" w:rsidRDefault="00916324" w:rsidP="00916324">
      <w:pPr>
        <w:pStyle w:val="ListParagraph"/>
        <w:numPr>
          <w:ilvl w:val="0"/>
          <w:numId w:val="32"/>
        </w:numPr>
      </w:pPr>
      <w:r>
        <w:t xml:space="preserve">Federated identifier, such as the </w:t>
      </w:r>
      <w:proofErr w:type="spellStart"/>
      <w:r>
        <w:t>eduPersonPrincipalName</w:t>
      </w:r>
      <w:proofErr w:type="spellEnd"/>
      <w:r>
        <w:t xml:space="preserve"> attribute</w:t>
      </w:r>
    </w:p>
    <w:p w14:paraId="42E79471" w14:textId="2C07EAAB" w:rsidR="00F7202B" w:rsidRDefault="00F7202B" w:rsidP="00916324">
      <w:pPr>
        <w:pStyle w:val="ListParagraph"/>
        <w:numPr>
          <w:ilvl w:val="0"/>
          <w:numId w:val="32"/>
        </w:numPr>
      </w:pPr>
      <w:r>
        <w:t>Social media identity (e.g. Google, LinkedIn)</w:t>
      </w:r>
    </w:p>
    <w:p w14:paraId="67E0633E" w14:textId="51B9C556" w:rsidR="00916324" w:rsidRDefault="00916324" w:rsidP="00916324">
      <w:pPr>
        <w:pStyle w:val="ListParagraph"/>
        <w:numPr>
          <w:ilvl w:val="0"/>
          <w:numId w:val="32"/>
        </w:numPr>
      </w:pPr>
      <w:r>
        <w:t>ORCID identifier</w:t>
      </w:r>
    </w:p>
    <w:p w14:paraId="264C21CF" w14:textId="77777777" w:rsidR="00916324" w:rsidRDefault="00916324" w:rsidP="00916324"/>
    <w:p w14:paraId="4564366C" w14:textId="7F31C428" w:rsidR="00916324" w:rsidRDefault="00916324" w:rsidP="00916324">
      <w:r>
        <w:t>The federated identifiers must be recorded by asking the user to log in to ELIXIR using the identifier.</w:t>
      </w:r>
    </w:p>
    <w:p w14:paraId="76307FFE" w14:textId="77777777" w:rsidR="00916324" w:rsidRDefault="00916324"/>
    <w:p w14:paraId="377B2D04" w14:textId="6C15AD95" w:rsidR="00916324" w:rsidRDefault="00916324" w:rsidP="00916324">
      <w:r>
        <w:t xml:space="preserve">Some attributes can be self-managed by the user him/herself </w:t>
      </w:r>
      <w:r w:rsidR="00F7202B">
        <w:t>in a web-based self-service UI, such as</w:t>
      </w:r>
    </w:p>
    <w:p w14:paraId="17697502" w14:textId="300C2FB2" w:rsidR="00F7202B" w:rsidRDefault="00B411A4" w:rsidP="00F7202B">
      <w:pPr>
        <w:pStyle w:val="ListParagraph"/>
        <w:numPr>
          <w:ilvl w:val="0"/>
          <w:numId w:val="33"/>
        </w:numPr>
      </w:pPr>
      <w:r>
        <w:t>N</w:t>
      </w:r>
      <w:r w:rsidR="00F7202B">
        <w:t>ame</w:t>
      </w:r>
      <w:r>
        <w:t xml:space="preserve"> (unless the user has registered for step-up authentication, see below)</w:t>
      </w:r>
    </w:p>
    <w:p w14:paraId="2D6DE5CD" w14:textId="55A0200F" w:rsidR="00F7202B" w:rsidRDefault="00F7202B" w:rsidP="00F7202B">
      <w:pPr>
        <w:pStyle w:val="ListParagraph"/>
        <w:numPr>
          <w:ilvl w:val="0"/>
          <w:numId w:val="33"/>
        </w:numPr>
      </w:pPr>
      <w:r>
        <w:t>Preferred language</w:t>
      </w:r>
    </w:p>
    <w:p w14:paraId="61B0C5C6" w14:textId="7AFAC533" w:rsidR="00F7202B" w:rsidRDefault="00F7202B" w:rsidP="00F7202B">
      <w:pPr>
        <w:pStyle w:val="ListParagraph"/>
        <w:numPr>
          <w:ilvl w:val="0"/>
          <w:numId w:val="33"/>
        </w:numPr>
      </w:pPr>
      <w:proofErr w:type="spellStart"/>
      <w:r>
        <w:t>timezone</w:t>
      </w:r>
      <w:proofErr w:type="spellEnd"/>
    </w:p>
    <w:p w14:paraId="2D6D6EAB" w14:textId="77777777" w:rsidR="00F7202B" w:rsidRDefault="00F7202B" w:rsidP="00916324"/>
    <w:p w14:paraId="013B6814" w14:textId="1DD2107D" w:rsidR="00916324" w:rsidRDefault="00B411A4" w:rsidP="00916324">
      <w:r>
        <w:t>Changing some attributes has</w:t>
      </w:r>
      <w:r w:rsidR="00F7202B">
        <w:t xml:space="preserve"> restrictions, such as</w:t>
      </w:r>
    </w:p>
    <w:p w14:paraId="7EAF3F3A" w14:textId="6870E22B" w:rsidR="00F7202B" w:rsidRDefault="00F7202B" w:rsidP="00F7202B">
      <w:pPr>
        <w:pStyle w:val="ListParagraph"/>
        <w:numPr>
          <w:ilvl w:val="0"/>
          <w:numId w:val="34"/>
        </w:numPr>
      </w:pPr>
      <w:r>
        <w:t>e-mail address (the user needs to demonstrate ownership of the address by a handshake protocol)</w:t>
      </w:r>
    </w:p>
    <w:p w14:paraId="4DA17B30" w14:textId="2F3ECDC9" w:rsidR="00F7202B" w:rsidRDefault="00F7202B" w:rsidP="00F7202B">
      <w:pPr>
        <w:pStyle w:val="ListParagraph"/>
        <w:numPr>
          <w:ilvl w:val="0"/>
          <w:numId w:val="34"/>
        </w:numPr>
      </w:pPr>
      <w:r>
        <w:t>home organization type</w:t>
      </w:r>
    </w:p>
    <w:p w14:paraId="4A8D8415" w14:textId="77777777" w:rsidR="00916324" w:rsidRDefault="00916324"/>
    <w:p w14:paraId="2DEEC913" w14:textId="3CA4A1F0" w:rsidR="000555AA" w:rsidRDefault="000555AA">
      <w:pPr>
        <w:rPr>
          <w:b/>
        </w:rPr>
      </w:pPr>
      <w:r w:rsidRPr="000555AA">
        <w:rPr>
          <w:b/>
        </w:rPr>
        <w:t>Logging and history</w:t>
      </w:r>
    </w:p>
    <w:p w14:paraId="12E54B55" w14:textId="77777777" w:rsidR="000555AA" w:rsidRDefault="000555AA">
      <w:pPr>
        <w:rPr>
          <w:b/>
        </w:rPr>
      </w:pPr>
    </w:p>
    <w:p w14:paraId="0187B8E0" w14:textId="72842198" w:rsidR="000555AA" w:rsidRDefault="000555AA">
      <w:r>
        <w:t>For accountability and incident response purposes, the ELIXIR AAI must store adequate log information on the use of the ELIXIR identities.</w:t>
      </w:r>
    </w:p>
    <w:p w14:paraId="176AAD39" w14:textId="77777777" w:rsidR="000555AA" w:rsidRDefault="000555AA"/>
    <w:p w14:paraId="5209C5C5" w14:textId="1ECF4DE0" w:rsidR="000555AA" w:rsidRPr="000555AA" w:rsidRDefault="000555AA">
      <w:r>
        <w:t xml:space="preserve">ELIXIR AAI must store adequate history of each ELIXIR identity, including the previous affiliations </w:t>
      </w:r>
      <w:r w:rsidR="002A1110">
        <w:t>the</w:t>
      </w:r>
      <w:r>
        <w:t xml:space="preserve"> use</w:t>
      </w:r>
      <w:r w:rsidR="00B411A4">
        <w:t>r</w:t>
      </w:r>
      <w:r>
        <w:t xml:space="preserve"> has had.</w:t>
      </w:r>
    </w:p>
    <w:p w14:paraId="61726D68" w14:textId="77777777" w:rsidR="00EA6380" w:rsidRDefault="00EA6380"/>
    <w:p w14:paraId="5A2A678A" w14:textId="3B0EE2F6" w:rsidR="000555AA" w:rsidRPr="000555AA" w:rsidRDefault="000555AA">
      <w:pPr>
        <w:rPr>
          <w:b/>
        </w:rPr>
      </w:pPr>
      <w:r w:rsidRPr="000555AA">
        <w:rPr>
          <w:b/>
        </w:rPr>
        <w:t>Technical interfaces</w:t>
      </w:r>
      <w:r>
        <w:rPr>
          <w:b/>
        </w:rPr>
        <w:t xml:space="preserve"> for Relying Parties</w:t>
      </w:r>
    </w:p>
    <w:p w14:paraId="27D2F020" w14:textId="77777777" w:rsidR="000555AA" w:rsidRDefault="000555AA"/>
    <w:p w14:paraId="1E2A6F89" w14:textId="746746E1" w:rsidR="000555AA" w:rsidRDefault="000555AA">
      <w:r>
        <w:t>The ELIXIR AAI must provide f</w:t>
      </w:r>
      <w:r w:rsidR="002A1110">
        <w:t>ollowing technical interfaces for</w:t>
      </w:r>
      <w:r>
        <w:t xml:space="preserve"> the </w:t>
      </w:r>
      <w:r w:rsidR="002A1110">
        <w:t>Relying P</w:t>
      </w:r>
      <w:r>
        <w:t>arties</w:t>
      </w:r>
    </w:p>
    <w:p w14:paraId="4525D314" w14:textId="50B21CCA" w:rsidR="000555AA" w:rsidRDefault="000555AA" w:rsidP="000555AA">
      <w:pPr>
        <w:pStyle w:val="ListParagraph"/>
        <w:numPr>
          <w:ilvl w:val="0"/>
          <w:numId w:val="34"/>
        </w:numPr>
      </w:pPr>
      <w:r>
        <w:t>LDAP directory for querying user attributes</w:t>
      </w:r>
    </w:p>
    <w:p w14:paraId="675205B7" w14:textId="44B6274D" w:rsidR="000555AA" w:rsidRDefault="000555AA" w:rsidP="000555AA">
      <w:pPr>
        <w:pStyle w:val="ListParagraph"/>
        <w:numPr>
          <w:ilvl w:val="0"/>
          <w:numId w:val="34"/>
        </w:numPr>
      </w:pPr>
      <w:r>
        <w:t xml:space="preserve">SAML Identity Provider which is able to </w:t>
      </w:r>
      <w:r w:rsidR="002A1110">
        <w:t xml:space="preserve">deliver </w:t>
      </w:r>
      <w:r>
        <w:t>the necessary attributes to the Relying Party in the Authentication Response message</w:t>
      </w:r>
    </w:p>
    <w:p w14:paraId="406A4EB6" w14:textId="77777777" w:rsidR="007E48E8" w:rsidRDefault="007E48E8"/>
    <w:p w14:paraId="1D6389B0" w14:textId="704E6A0D" w:rsidR="007E48E8" w:rsidRDefault="00BB6D46">
      <w:pPr>
        <w:pStyle w:val="Heading1"/>
        <w:numPr>
          <w:ilvl w:val="0"/>
          <w:numId w:val="23"/>
        </w:numPr>
        <w:ind w:hanging="359"/>
      </w:pPr>
      <w:bookmarkStart w:id="4" w:name="h.yst90ell2q8" w:colFirst="0" w:colLast="0"/>
      <w:bookmarkEnd w:id="4"/>
      <w:r>
        <w:t>AUTHENTICATION</w:t>
      </w:r>
    </w:p>
    <w:p w14:paraId="6C8CCAD6" w14:textId="77777777" w:rsidR="00BB6D46" w:rsidRDefault="00BB6D46" w:rsidP="00BB6D46"/>
    <w:p w14:paraId="1DBA97DC" w14:textId="5F790C8A" w:rsidR="009E4A97" w:rsidRDefault="009E4A97" w:rsidP="00BB6D46">
      <w:pPr>
        <w:rPr>
          <w:b/>
        </w:rPr>
      </w:pPr>
      <w:r w:rsidRPr="009E4A97">
        <w:rPr>
          <w:b/>
        </w:rPr>
        <w:t>Supported authentication providers</w:t>
      </w:r>
    </w:p>
    <w:p w14:paraId="41E2FA87" w14:textId="77777777" w:rsidR="009E4A97" w:rsidRPr="009E4A97" w:rsidRDefault="009E4A97" w:rsidP="00BB6D46">
      <w:pPr>
        <w:rPr>
          <w:b/>
        </w:rPr>
      </w:pPr>
    </w:p>
    <w:p w14:paraId="0B476DBC" w14:textId="17E21F97" w:rsidR="00BB6D46" w:rsidRDefault="00BB6D46" w:rsidP="00BB6D46">
      <w:r>
        <w:t>Each ELIXIR identity has one or several associated authentication providers:</w:t>
      </w:r>
    </w:p>
    <w:p w14:paraId="7ED3A15B" w14:textId="76A5B090" w:rsidR="00BB6D46" w:rsidRDefault="00BB6D46" w:rsidP="00BB6D46">
      <w:pPr>
        <w:pStyle w:val="ListParagraph"/>
        <w:numPr>
          <w:ilvl w:val="0"/>
          <w:numId w:val="35"/>
        </w:numPr>
      </w:pPr>
      <w:r>
        <w:t xml:space="preserve">Identity Providers managed by the researchers’ home </w:t>
      </w:r>
      <w:proofErr w:type="spellStart"/>
      <w:r>
        <w:t>organisations</w:t>
      </w:r>
      <w:proofErr w:type="spellEnd"/>
      <w:r>
        <w:t xml:space="preserve"> to which ELIXIR AAI connects via the eduGAIN </w:t>
      </w:r>
      <w:proofErr w:type="spellStart"/>
      <w:r>
        <w:t>interfederation</w:t>
      </w:r>
      <w:proofErr w:type="spellEnd"/>
      <w:r>
        <w:t xml:space="preserve"> service or otherwise. Researchers can use their home organization managed authentication credentials to log in (SAML 2.0 technology)</w:t>
      </w:r>
    </w:p>
    <w:p w14:paraId="029A41FF" w14:textId="2CF7676B" w:rsidR="00BB6D46" w:rsidRDefault="00BB6D46" w:rsidP="00BB6D46">
      <w:pPr>
        <w:pStyle w:val="ListParagraph"/>
        <w:numPr>
          <w:ilvl w:val="0"/>
          <w:numId w:val="35"/>
        </w:numPr>
      </w:pPr>
      <w:r>
        <w:t xml:space="preserve">Identity Providers managed by common social media providers, such as Google, </w:t>
      </w:r>
      <w:proofErr w:type="spellStart"/>
      <w:r>
        <w:t>Linkedin</w:t>
      </w:r>
      <w:proofErr w:type="spellEnd"/>
      <w:r>
        <w:t xml:space="preserve"> or ORCID. ELIXIR users can register a social identity to log in to ELIXIR (typically, OAuth2 technology)</w:t>
      </w:r>
    </w:p>
    <w:p w14:paraId="7EF23565" w14:textId="140529FE" w:rsidR="00BB6D46" w:rsidRDefault="00BB6D46" w:rsidP="00BB6D46">
      <w:pPr>
        <w:pStyle w:val="ListParagraph"/>
        <w:numPr>
          <w:ilvl w:val="0"/>
          <w:numId w:val="35"/>
        </w:numPr>
      </w:pPr>
      <w:r>
        <w:t xml:space="preserve">ELIXIR account that is an ELIXIR managed </w:t>
      </w:r>
      <w:r w:rsidR="009E4A97">
        <w:t>authentication service. The user can use his/her ELIXIR identifier and an associated password to log in</w:t>
      </w:r>
    </w:p>
    <w:p w14:paraId="3BA71609" w14:textId="77777777" w:rsidR="009E4A97" w:rsidRDefault="009E4A97" w:rsidP="009E4A97"/>
    <w:p w14:paraId="7F144561" w14:textId="135853DA" w:rsidR="009E4A97" w:rsidRDefault="009E4A97" w:rsidP="009E4A97">
      <w:r>
        <w:t>To qualify</w:t>
      </w:r>
      <w:r w:rsidR="002A1110">
        <w:t xml:space="preserve"> as an authentication provider</w:t>
      </w:r>
      <w:r>
        <w:t>, the eduGAIN Identity providers must</w:t>
      </w:r>
    </w:p>
    <w:p w14:paraId="5D8BF54C" w14:textId="7DAE09A5" w:rsidR="009E4A97" w:rsidRDefault="009E4A97" w:rsidP="009E4A97">
      <w:pPr>
        <w:pStyle w:val="ListParagraph"/>
        <w:numPr>
          <w:ilvl w:val="0"/>
          <w:numId w:val="36"/>
        </w:numPr>
      </w:pPr>
      <w:r>
        <w:lastRenderedPageBreak/>
        <w:t>Provide sufficient L</w:t>
      </w:r>
      <w:r w:rsidR="00991B35">
        <w:t>evel of Assurance (</w:t>
      </w:r>
      <w:proofErr w:type="spellStart"/>
      <w:r w:rsidR="00991B35">
        <w:t>LoA</w:t>
      </w:r>
      <w:proofErr w:type="spellEnd"/>
      <w:r w:rsidR="00991B35">
        <w:t xml:space="preserve">). The </w:t>
      </w:r>
      <w:proofErr w:type="spellStart"/>
      <w:r w:rsidR="00991B35">
        <w:t>LoA</w:t>
      </w:r>
      <w:proofErr w:type="spellEnd"/>
      <w:r>
        <w:t xml:space="preserve"> floor comprises of: </w:t>
      </w:r>
    </w:p>
    <w:p w14:paraId="4238B2D5" w14:textId="3CCECC0C" w:rsidR="009E4A97" w:rsidRDefault="009E4A97" w:rsidP="009E4A97">
      <w:pPr>
        <w:pStyle w:val="ListParagraph"/>
        <w:numPr>
          <w:ilvl w:val="1"/>
          <w:numId w:val="36"/>
        </w:numPr>
      </w:pPr>
      <w:r>
        <w:t>The accounts must belong to individual users</w:t>
      </w:r>
    </w:p>
    <w:p w14:paraId="21E3D77E" w14:textId="2DD22C12" w:rsidR="009E4A97" w:rsidRDefault="009E4A97" w:rsidP="009E4A97">
      <w:pPr>
        <w:pStyle w:val="ListParagraph"/>
        <w:numPr>
          <w:ilvl w:val="1"/>
          <w:numId w:val="36"/>
        </w:numPr>
      </w:pPr>
      <w:r>
        <w:t xml:space="preserve">The home </w:t>
      </w:r>
      <w:proofErr w:type="spellStart"/>
      <w:r>
        <w:t>organisations</w:t>
      </w:r>
      <w:proofErr w:type="spellEnd"/>
      <w:r>
        <w:t xml:space="preserve"> must have a standard identity proofing mechanism for end users when they receive their login credentials</w:t>
      </w:r>
    </w:p>
    <w:p w14:paraId="6476C8F1" w14:textId="53FB0576" w:rsidR="009E4A97" w:rsidRDefault="003A3F3B" w:rsidP="009E4A97">
      <w:pPr>
        <w:pStyle w:val="ListParagraph"/>
        <w:numPr>
          <w:ilvl w:val="1"/>
          <w:numId w:val="36"/>
        </w:numPr>
      </w:pPr>
      <w:r>
        <w:t xml:space="preserve">The home </w:t>
      </w:r>
      <w:proofErr w:type="spellStart"/>
      <w:r>
        <w:t>or</w:t>
      </w:r>
      <w:r w:rsidR="009E4A97">
        <w:t>ganisations</w:t>
      </w:r>
      <w:proofErr w:type="spellEnd"/>
      <w:r w:rsidR="009E4A97">
        <w:t xml:space="preserve"> must close departing end users’ accounts or </w:t>
      </w:r>
      <w:r>
        <w:t xml:space="preserve">remove their </w:t>
      </w:r>
      <w:proofErr w:type="spellStart"/>
      <w:r w:rsidR="009E4A97">
        <w:t>eduPersonAffiliation</w:t>
      </w:r>
      <w:proofErr w:type="spellEnd"/>
      <w:r w:rsidR="009E4A97">
        <w:t>/</w:t>
      </w:r>
      <w:proofErr w:type="spellStart"/>
      <w:r w:rsidR="009E4A97">
        <w:t>eduPersonScopedAffiliation</w:t>
      </w:r>
      <w:proofErr w:type="spellEnd"/>
      <w:r w:rsidR="009E4A97">
        <w:t xml:space="preserve"> values</w:t>
      </w:r>
    </w:p>
    <w:p w14:paraId="10D5589C" w14:textId="40C8E5D9" w:rsidR="009E4A97" w:rsidRPr="00BB6D46" w:rsidRDefault="009E4A97" w:rsidP="009E4A97">
      <w:pPr>
        <w:pStyle w:val="ListParagraph"/>
        <w:numPr>
          <w:ilvl w:val="0"/>
          <w:numId w:val="36"/>
        </w:numPr>
      </w:pPr>
      <w:r>
        <w:t>Be willing to release attributes to ELIXIR AAI. ELIXIR AAI commits to the GEANT Data protection Code of Conduct.</w:t>
      </w:r>
    </w:p>
    <w:p w14:paraId="374CF0B1" w14:textId="77777777" w:rsidR="009E4A97" w:rsidRDefault="009E4A97"/>
    <w:p w14:paraId="0EA5EC93" w14:textId="18B4EEF6" w:rsidR="007E48E8" w:rsidRPr="009E4A97" w:rsidRDefault="009E4A97">
      <w:pPr>
        <w:rPr>
          <w:b/>
        </w:rPr>
      </w:pPr>
      <w:r w:rsidRPr="009E4A97">
        <w:rPr>
          <w:b/>
        </w:rPr>
        <w:t>Account linking</w:t>
      </w:r>
    </w:p>
    <w:p w14:paraId="3F65968A" w14:textId="77777777" w:rsidR="009E4A97" w:rsidRDefault="009E4A97"/>
    <w:p w14:paraId="2FD9E178" w14:textId="24A6C5CB" w:rsidR="009E4A97" w:rsidRDefault="009E4A97">
      <w:r>
        <w:t xml:space="preserve">An end user can </w:t>
      </w:r>
      <w:r w:rsidR="00665EA1">
        <w:t>link several external authentication providers to his/her ELIXIR identity, and use them mixed when access</w:t>
      </w:r>
      <w:r w:rsidR="00221F25">
        <w:t>ing</w:t>
      </w:r>
      <w:r w:rsidR="00665EA1">
        <w:t xml:space="preserve"> the ELIXIR services. The Relying Party is always expected to use the user’s ELIXIR identifier as the primary user identifier.</w:t>
      </w:r>
    </w:p>
    <w:p w14:paraId="1A077EF4" w14:textId="77777777" w:rsidR="00665EA1" w:rsidRDefault="00665EA1"/>
    <w:p w14:paraId="06C25879" w14:textId="00FA8919" w:rsidR="00665EA1" w:rsidRDefault="00665EA1">
      <w:r>
        <w:t xml:space="preserve">To link a new authentication provider to his/her ELIXIR identity, an end user first logs in to ELIXIR AAI using his/her existing authentication provider and performs a subsequent log in using the new authentication provider. The ELIXIR AAI must provider a web-based self-service management UI for this. </w:t>
      </w:r>
    </w:p>
    <w:p w14:paraId="3FE31C52" w14:textId="77777777" w:rsidR="00665EA1" w:rsidRDefault="00665EA1"/>
    <w:p w14:paraId="2CFEB7CB" w14:textId="45568D9E" w:rsidR="00221F25" w:rsidRDefault="00665EA1">
      <w:r>
        <w:t>To help existing Relying Parties to migrate to ELIXIR AAI, a Rel</w:t>
      </w:r>
      <w:r w:rsidR="00577B50">
        <w:t xml:space="preserve">ying Party </w:t>
      </w:r>
      <w:r w:rsidR="00991B35">
        <w:t>can receive</w:t>
      </w:r>
      <w:r w:rsidR="00577B50">
        <w:t xml:space="preserve"> not just the </w:t>
      </w:r>
      <w:r>
        <w:t>authenticated user’s ELIXIR identifier but also the external identifier that was used to authenticate</w:t>
      </w:r>
      <w:r w:rsidR="00221F25">
        <w:t xml:space="preserve"> him/her</w:t>
      </w:r>
      <w:r>
        <w:t>.</w:t>
      </w:r>
      <w:r w:rsidR="00577B50">
        <w:t xml:space="preserve"> For example, </w:t>
      </w:r>
      <w:r w:rsidR="00221F25">
        <w:t xml:space="preserve">when a user with the ELIXIR identifier </w:t>
      </w:r>
      <w:r w:rsidR="00221F25" w:rsidRPr="00221F25">
        <w:t>bobs@elixir-europe.org</w:t>
      </w:r>
      <w:r w:rsidR="00221F25">
        <w:t xml:space="preserve"> logs in via eduGAIN, the Relying party receives two identifiers:</w:t>
      </w:r>
    </w:p>
    <w:p w14:paraId="7A18B3F4" w14:textId="73BA9BE0" w:rsidR="00221F25" w:rsidRDefault="00221F25" w:rsidP="00221F25">
      <w:pPr>
        <w:pStyle w:val="ListParagraph"/>
        <w:numPr>
          <w:ilvl w:val="0"/>
          <w:numId w:val="41"/>
        </w:numPr>
      </w:pPr>
      <w:r>
        <w:t xml:space="preserve">ELIXIR identifier: </w:t>
      </w:r>
      <w:hyperlink r:id="rId11" w:history="1">
        <w:r w:rsidRPr="00A408AD">
          <w:rPr>
            <w:rStyle w:val="Hyperlink"/>
          </w:rPr>
          <w:t>bobs@elixir-europe.org</w:t>
        </w:r>
      </w:hyperlink>
    </w:p>
    <w:p w14:paraId="0609B39C" w14:textId="1C341DE6" w:rsidR="00221F25" w:rsidRDefault="00221F25" w:rsidP="00221F25">
      <w:pPr>
        <w:pStyle w:val="ListParagraph"/>
        <w:numPr>
          <w:ilvl w:val="0"/>
          <w:numId w:val="41"/>
        </w:numPr>
      </w:pPr>
      <w:r>
        <w:t xml:space="preserve">External identifier: </w:t>
      </w:r>
      <w:hyperlink r:id="rId12" w:history="1">
        <w:r w:rsidRPr="00A408AD">
          <w:rPr>
            <w:rStyle w:val="Hyperlink"/>
          </w:rPr>
          <w:t>bsmith@universityx.org</w:t>
        </w:r>
      </w:hyperlink>
      <w:r>
        <w:t xml:space="preserve"> (</w:t>
      </w:r>
      <w:proofErr w:type="spellStart"/>
      <w:r>
        <w:t>eduPersonPrincipalName</w:t>
      </w:r>
      <w:proofErr w:type="spellEnd"/>
      <w:r>
        <w:t xml:space="preserve">, indicating the </w:t>
      </w:r>
      <w:r w:rsidR="00991B35">
        <w:t xml:space="preserve">home organization identity </w:t>
      </w:r>
      <w:r>
        <w:t xml:space="preserve">that Bob used for login) </w:t>
      </w:r>
    </w:p>
    <w:p w14:paraId="3290F029" w14:textId="77777777" w:rsidR="00577B50" w:rsidRDefault="00577B50"/>
    <w:p w14:paraId="7ABB50CF" w14:textId="6683B969" w:rsidR="000555AA" w:rsidRPr="00335C6D" w:rsidRDefault="00991B35">
      <w:pPr>
        <w:rPr>
          <w:b/>
        </w:rPr>
      </w:pPr>
      <w:r>
        <w:rPr>
          <w:b/>
        </w:rPr>
        <w:t>S</w:t>
      </w:r>
      <w:r w:rsidR="00335C6D" w:rsidRPr="00335C6D">
        <w:rPr>
          <w:b/>
        </w:rPr>
        <w:t xml:space="preserve">tep-up authentication </w:t>
      </w:r>
    </w:p>
    <w:p w14:paraId="7F17FEEB" w14:textId="77777777" w:rsidR="000555AA" w:rsidRDefault="000555AA"/>
    <w:p w14:paraId="522E12CD" w14:textId="32B3695E" w:rsidR="00335C6D" w:rsidRDefault="00335C6D">
      <w:r>
        <w:t xml:space="preserve">Initially, all external authentication providers and the ELIXIR accounts are assumed to </w:t>
      </w:r>
      <w:r w:rsidR="00045673">
        <w:t xml:space="preserve">provide </w:t>
      </w:r>
      <w:r>
        <w:t>a basic</w:t>
      </w:r>
      <w:r w:rsidR="00F96E8C">
        <w:t xml:space="preserve"> </w:t>
      </w:r>
      <w:proofErr w:type="spellStart"/>
      <w:r w:rsidR="00F96E8C">
        <w:t>LoA</w:t>
      </w:r>
      <w:proofErr w:type="spellEnd"/>
      <w:r>
        <w:t xml:space="preserve"> for both the initial proof of identity and login. The situation can be later re-evaluated as</w:t>
      </w:r>
      <w:r w:rsidR="002B3812">
        <w:t xml:space="preserve"> </w:t>
      </w:r>
      <w:r w:rsidR="00F96E8C">
        <w:t xml:space="preserve">well-established </w:t>
      </w:r>
      <w:r w:rsidR="002B3812">
        <w:t xml:space="preserve">external </w:t>
      </w:r>
      <w:proofErr w:type="spellStart"/>
      <w:r>
        <w:t>L</w:t>
      </w:r>
      <w:r w:rsidR="00941229">
        <w:t>oA</w:t>
      </w:r>
      <w:proofErr w:type="spellEnd"/>
      <w:r w:rsidR="00941229">
        <w:t xml:space="preserve"> frameworks and providers</w:t>
      </w:r>
      <w:r w:rsidR="00F96E8C">
        <w:t xml:space="preserve"> become available</w:t>
      </w:r>
      <w:r w:rsidR="00941229">
        <w:t>.</w:t>
      </w:r>
    </w:p>
    <w:p w14:paraId="107D95B0" w14:textId="77777777" w:rsidR="00335C6D" w:rsidRDefault="00335C6D"/>
    <w:p w14:paraId="3A1F5DDD" w14:textId="166BD0F5" w:rsidR="00941229" w:rsidRDefault="00941229">
      <w:r>
        <w:t xml:space="preserve">ELIXIR AAI deploys a service for step-up authentication, which covers both strong (face-to-face) identity proofing </w:t>
      </w:r>
      <w:r w:rsidR="00991B35">
        <w:t xml:space="preserve">of an ELIXIR identity </w:t>
      </w:r>
      <w:r>
        <w:t>and strong (two factor) authentication at the login time.</w:t>
      </w:r>
    </w:p>
    <w:p w14:paraId="5747C5DA" w14:textId="77777777" w:rsidR="00941229" w:rsidRDefault="00941229"/>
    <w:p w14:paraId="191DF837" w14:textId="77777777" w:rsidR="00045673" w:rsidRDefault="00941229">
      <w:r>
        <w:t xml:space="preserve">Strong identity proofing is deployed by asking each home </w:t>
      </w:r>
      <w:proofErr w:type="spellStart"/>
      <w:r>
        <w:t>organi</w:t>
      </w:r>
      <w:r w:rsidR="00045673">
        <w:t>s</w:t>
      </w:r>
      <w:r>
        <w:t>ation’s</w:t>
      </w:r>
      <w:proofErr w:type="spellEnd"/>
      <w:r>
        <w:t xml:space="preserve"> ELIXIR coordinator to deploy practices for face-to-face identity proofing, supported by the technical infrastructure provided by ELIXIR AAI. Strong authentication is provided by registering a second authentication factor for the user during the face-to-face identity proofing. Initially, following second factor authentication mechanisms are suggested: </w:t>
      </w:r>
    </w:p>
    <w:p w14:paraId="4B7FB3DE" w14:textId="77777777" w:rsidR="00045673" w:rsidRDefault="00941229" w:rsidP="00045673">
      <w:pPr>
        <w:pStyle w:val="ListParagraph"/>
        <w:numPr>
          <w:ilvl w:val="0"/>
          <w:numId w:val="37"/>
        </w:numPr>
      </w:pPr>
      <w:r>
        <w:t>SMS-OTP (one-time password delivered to the user’s registered cell phone number),</w:t>
      </w:r>
    </w:p>
    <w:p w14:paraId="08A7169D" w14:textId="27DE0C86" w:rsidR="00045673" w:rsidRDefault="00941229" w:rsidP="00045673">
      <w:pPr>
        <w:pStyle w:val="ListParagraph"/>
        <w:numPr>
          <w:ilvl w:val="0"/>
          <w:numId w:val="37"/>
        </w:numPr>
      </w:pPr>
      <w:r>
        <w:t>a smartphone application (</w:t>
      </w:r>
      <w:proofErr w:type="spellStart"/>
      <w:r w:rsidR="00F96E8C">
        <w:t>e.b</w:t>
      </w:r>
      <w:proofErr w:type="spellEnd"/>
      <w:r w:rsidR="00F96E8C">
        <w:t xml:space="preserve">. </w:t>
      </w:r>
      <w:proofErr w:type="spellStart"/>
      <w:r>
        <w:t>Tiqr</w:t>
      </w:r>
      <w:proofErr w:type="spellEnd"/>
      <w:r>
        <w:t xml:space="preserve">, </w:t>
      </w:r>
      <w:hyperlink r:id="rId13" w:history="1">
        <w:r w:rsidRPr="00ED5D4D">
          <w:rPr>
            <w:rStyle w:val="Hyperlink"/>
          </w:rPr>
          <w:t>http://tiqr.org/</w:t>
        </w:r>
      </w:hyperlink>
      <w:r>
        <w:t xml:space="preserve">) and </w:t>
      </w:r>
    </w:p>
    <w:p w14:paraId="7C00BA59" w14:textId="093984B9" w:rsidR="00941229" w:rsidRDefault="00F96E8C" w:rsidP="00045673">
      <w:pPr>
        <w:pStyle w:val="ListParagraph"/>
        <w:numPr>
          <w:ilvl w:val="0"/>
          <w:numId w:val="37"/>
        </w:numPr>
      </w:pPr>
      <w:proofErr w:type="gramStart"/>
      <w:r>
        <w:lastRenderedPageBreak/>
        <w:t>a</w:t>
      </w:r>
      <w:proofErr w:type="gramEnd"/>
      <w:r>
        <w:t xml:space="preserve"> hardware token generating one-time passwords, (e.g. </w:t>
      </w:r>
      <w:proofErr w:type="spellStart"/>
      <w:r>
        <w:t>Yubikey</w:t>
      </w:r>
      <w:proofErr w:type="spellEnd"/>
      <w:r>
        <w:t xml:space="preserve">, a token </w:t>
      </w:r>
      <w:r w:rsidR="00045673">
        <w:t>emulating a keyboard).</w:t>
      </w:r>
    </w:p>
    <w:p w14:paraId="013D33B3" w14:textId="77777777" w:rsidR="00045673" w:rsidRDefault="00045673"/>
    <w:p w14:paraId="05114335" w14:textId="0D5BB0B8" w:rsidR="002B3812" w:rsidRDefault="002B3812">
      <w:r>
        <w:t>The exact registration workflow for identity proofing depends on the authentication mechanism use</w:t>
      </w:r>
      <w:r w:rsidR="00F96E8C">
        <w:t xml:space="preserve">d. This </w:t>
      </w:r>
      <w:r>
        <w:t>example</w:t>
      </w:r>
      <w:r w:rsidR="00F96E8C">
        <w:t xml:space="preserve"> illustrates the idea</w:t>
      </w:r>
      <w:r>
        <w:t xml:space="preserve">: </w:t>
      </w:r>
    </w:p>
    <w:p w14:paraId="18C0BA10" w14:textId="7186F2B7" w:rsidR="002B3812" w:rsidRDefault="00AE2428" w:rsidP="00AE2428">
      <w:pPr>
        <w:pStyle w:val="ListParagraph"/>
        <w:numPr>
          <w:ilvl w:val="0"/>
          <w:numId w:val="40"/>
        </w:numPr>
      </w:pPr>
      <w:r>
        <w:t xml:space="preserve">A user logs in to ELIXIR AAI (using weak authentication) </w:t>
      </w:r>
    </w:p>
    <w:p w14:paraId="611A49F1" w14:textId="175D57FD" w:rsidR="00AE2428" w:rsidRDefault="00AE2428" w:rsidP="00AE2428">
      <w:pPr>
        <w:pStyle w:val="ListParagraph"/>
        <w:numPr>
          <w:ilvl w:val="0"/>
          <w:numId w:val="40"/>
        </w:numPr>
      </w:pPr>
      <w:r>
        <w:t>The user clicks “associate a strong authentication means to my ELIXIR identity”</w:t>
      </w:r>
    </w:p>
    <w:p w14:paraId="730535FC" w14:textId="19D592B1" w:rsidR="00AE2428" w:rsidRDefault="00F947BC" w:rsidP="00AE2428">
      <w:pPr>
        <w:pStyle w:val="ListParagraph"/>
        <w:numPr>
          <w:ilvl w:val="0"/>
          <w:numId w:val="40"/>
        </w:numPr>
      </w:pPr>
      <w:r>
        <w:t xml:space="preserve">The user performs </w:t>
      </w:r>
      <w:r w:rsidR="00AE2428">
        <w:t xml:space="preserve">strong authentication to ELIXIR AAI with his/her </w:t>
      </w:r>
      <w:r w:rsidR="00805816">
        <w:t>authentication token</w:t>
      </w:r>
    </w:p>
    <w:p w14:paraId="0A789A5A" w14:textId="4738076B" w:rsidR="00805816" w:rsidRDefault="00805816" w:rsidP="00AE2428">
      <w:pPr>
        <w:pStyle w:val="ListParagraph"/>
        <w:numPr>
          <w:ilvl w:val="0"/>
          <w:numId w:val="40"/>
        </w:numPr>
      </w:pPr>
      <w:r>
        <w:t>ELIXIR AAI gives the user an activation code</w:t>
      </w:r>
    </w:p>
    <w:p w14:paraId="20952BEC" w14:textId="20964171" w:rsidR="00805816" w:rsidRDefault="00F947BC" w:rsidP="00AE2428">
      <w:pPr>
        <w:pStyle w:val="ListParagraph"/>
        <w:numPr>
          <w:ilvl w:val="0"/>
          <w:numId w:val="40"/>
        </w:numPr>
      </w:pPr>
      <w:r>
        <w:t xml:space="preserve">The user goes to his/her home </w:t>
      </w:r>
      <w:proofErr w:type="spellStart"/>
      <w:r>
        <w:t>organisation’s</w:t>
      </w:r>
      <w:proofErr w:type="spellEnd"/>
      <w:r>
        <w:t xml:space="preserve"> ELIXIR coordinator and </w:t>
      </w:r>
      <w:r w:rsidR="00805816">
        <w:t xml:space="preserve">presents </w:t>
      </w:r>
      <w:r>
        <w:t xml:space="preserve">face-to-face </w:t>
      </w:r>
      <w:r w:rsidR="00805816">
        <w:t xml:space="preserve">the activation code and his/her government photo ID </w:t>
      </w:r>
    </w:p>
    <w:p w14:paraId="447C7180" w14:textId="0F951FA4" w:rsidR="00805816" w:rsidRDefault="00805816" w:rsidP="00AE2428">
      <w:pPr>
        <w:pStyle w:val="ListParagraph"/>
        <w:numPr>
          <w:ilvl w:val="0"/>
          <w:numId w:val="40"/>
        </w:numPr>
      </w:pPr>
      <w:r>
        <w:t>The ELIXIR coordinator uses his/her own strong authentication means to log in to ELIXIR AAI</w:t>
      </w:r>
      <w:r w:rsidR="00F947BC">
        <w:t>, verifies the user’s ELIXIR identity and the photo ID</w:t>
      </w:r>
      <w:r>
        <w:t xml:space="preserve"> and enters the user’s activation code to the system</w:t>
      </w:r>
    </w:p>
    <w:p w14:paraId="66EB8568" w14:textId="413BF6A9" w:rsidR="00F947BC" w:rsidRDefault="00F947BC" w:rsidP="00AE2428">
      <w:pPr>
        <w:pStyle w:val="ListParagraph"/>
        <w:numPr>
          <w:ilvl w:val="0"/>
          <w:numId w:val="40"/>
        </w:numPr>
      </w:pPr>
      <w:r>
        <w:t>The user can start to use the step-up authentication</w:t>
      </w:r>
      <w:r w:rsidR="00991B35">
        <w:t xml:space="preserve"> service</w:t>
      </w:r>
    </w:p>
    <w:p w14:paraId="13FE004F" w14:textId="77777777" w:rsidR="002B3812" w:rsidRDefault="002B3812"/>
    <w:p w14:paraId="3CE4346A" w14:textId="67D341A8" w:rsidR="00335C6D" w:rsidRDefault="002B3812">
      <w:r>
        <w:t xml:space="preserve">A Relying Party can request step-up authentication for an ELIXIR user, and ELIXIR AAI delivers </w:t>
      </w:r>
      <w:r w:rsidR="00F947BC">
        <w:t xml:space="preserve">if </w:t>
      </w:r>
      <w:r>
        <w:t>it is available for the user. Following ELIXIR services are expected to require step-up authentication:</w:t>
      </w:r>
    </w:p>
    <w:p w14:paraId="5AFD0F3D" w14:textId="58C02AA1" w:rsidR="002B3812" w:rsidRDefault="002B3812" w:rsidP="002B3812">
      <w:pPr>
        <w:pStyle w:val="ListParagraph"/>
        <w:numPr>
          <w:ilvl w:val="0"/>
          <w:numId w:val="39"/>
        </w:numPr>
      </w:pPr>
      <w:r>
        <w:t xml:space="preserve">Access to sensitive human data in </w:t>
      </w:r>
      <w:proofErr w:type="spellStart"/>
      <w:r>
        <w:t>biobanks</w:t>
      </w:r>
      <w:proofErr w:type="spellEnd"/>
      <w:r>
        <w:t xml:space="preserve"> and European Genome-Phenome Archive (EGA)</w:t>
      </w:r>
    </w:p>
    <w:p w14:paraId="55F5F704" w14:textId="5F304B29" w:rsidR="002B3812" w:rsidRDefault="002B3812" w:rsidP="002B3812">
      <w:pPr>
        <w:pStyle w:val="ListParagraph"/>
        <w:numPr>
          <w:ilvl w:val="0"/>
          <w:numId w:val="39"/>
        </w:numPr>
      </w:pPr>
      <w:r>
        <w:t>Cloud management (a project representative launches a VM for his/her project)</w:t>
      </w:r>
    </w:p>
    <w:p w14:paraId="41459F2A" w14:textId="26F7EC72" w:rsidR="00A65DFB" w:rsidRDefault="00A65DFB" w:rsidP="002B3812">
      <w:pPr>
        <w:pStyle w:val="ListParagraph"/>
        <w:numPr>
          <w:ilvl w:val="0"/>
          <w:numId w:val="39"/>
        </w:numPr>
      </w:pPr>
      <w:proofErr w:type="spellStart"/>
      <w:r>
        <w:t>etc</w:t>
      </w:r>
      <w:proofErr w:type="spellEnd"/>
    </w:p>
    <w:p w14:paraId="60469C81" w14:textId="77777777" w:rsidR="002B3812" w:rsidRDefault="002B3812" w:rsidP="002B3812">
      <w:pPr>
        <w:rPr>
          <w:b/>
        </w:rPr>
      </w:pPr>
    </w:p>
    <w:p w14:paraId="0FEEEC50" w14:textId="77777777" w:rsidR="002B3812" w:rsidRPr="00577B50" w:rsidRDefault="002B3812" w:rsidP="002B3812">
      <w:pPr>
        <w:rPr>
          <w:b/>
        </w:rPr>
      </w:pPr>
      <w:r>
        <w:rPr>
          <w:b/>
        </w:rPr>
        <w:t>Technical Interfaces for Relying Parties</w:t>
      </w:r>
    </w:p>
    <w:p w14:paraId="5BEC7EAB" w14:textId="77777777" w:rsidR="002B3812" w:rsidRDefault="002B3812" w:rsidP="002B3812"/>
    <w:p w14:paraId="1AC45C83" w14:textId="77777777" w:rsidR="002B3812" w:rsidRDefault="002B3812" w:rsidP="002B3812">
      <w:r>
        <w:t>ELIXIR AAI provides following interfaces to the Relying Parties</w:t>
      </w:r>
    </w:p>
    <w:p w14:paraId="7A1DC0C3" w14:textId="77777777" w:rsidR="002B3812" w:rsidRDefault="002B3812" w:rsidP="002B3812">
      <w:pPr>
        <w:pStyle w:val="ListParagraph"/>
        <w:numPr>
          <w:ilvl w:val="0"/>
          <w:numId w:val="36"/>
        </w:numPr>
      </w:pPr>
      <w:r>
        <w:t xml:space="preserve">SAML </w:t>
      </w:r>
      <w:proofErr w:type="spellStart"/>
      <w:r>
        <w:t>WebSSO</w:t>
      </w:r>
      <w:proofErr w:type="spellEnd"/>
      <w:r>
        <w:t xml:space="preserve"> Authentication request protocol</w:t>
      </w:r>
    </w:p>
    <w:p w14:paraId="6278FB5D" w14:textId="77777777" w:rsidR="002B3812" w:rsidRDefault="002B3812" w:rsidP="002B3812">
      <w:pPr>
        <w:pStyle w:val="ListParagraph"/>
        <w:numPr>
          <w:ilvl w:val="0"/>
          <w:numId w:val="36"/>
        </w:numPr>
      </w:pPr>
      <w:proofErr w:type="spellStart"/>
      <w:r>
        <w:t>OpenID</w:t>
      </w:r>
      <w:proofErr w:type="spellEnd"/>
      <w:r>
        <w:t xml:space="preserve"> Connect?</w:t>
      </w:r>
    </w:p>
    <w:p w14:paraId="565008CF" w14:textId="7E3D77D8" w:rsidR="002B3812" w:rsidRDefault="002B3812" w:rsidP="002B3812">
      <w:pPr>
        <w:pStyle w:val="ListParagraph"/>
        <w:numPr>
          <w:ilvl w:val="0"/>
          <w:numId w:val="36"/>
        </w:numPr>
      </w:pPr>
      <w:r>
        <w:t>X</w:t>
      </w:r>
      <w:r w:rsidR="00A65DFB">
        <w:t>.</w:t>
      </w:r>
      <w:r>
        <w:t xml:space="preserve">509 credential translation </w:t>
      </w:r>
      <w:r w:rsidR="00A65DFB">
        <w:t>(</w:t>
      </w:r>
      <w:r>
        <w:t>TO BE DEFINED)</w:t>
      </w:r>
    </w:p>
    <w:p w14:paraId="710AC093" w14:textId="5AC05A94" w:rsidR="007E48E8" w:rsidRDefault="00C942B6">
      <w:r>
        <w:t xml:space="preserve"> </w:t>
      </w:r>
    </w:p>
    <w:p w14:paraId="448ABA58" w14:textId="77777777" w:rsidR="007E48E8" w:rsidRDefault="00C942B6">
      <w:pPr>
        <w:pStyle w:val="Heading1"/>
        <w:numPr>
          <w:ilvl w:val="0"/>
          <w:numId w:val="22"/>
        </w:numPr>
        <w:ind w:hanging="359"/>
      </w:pPr>
      <w:bookmarkStart w:id="5" w:name="h.5kx8fvcowwnv" w:colFirst="0" w:colLast="0"/>
      <w:bookmarkEnd w:id="5"/>
      <w:r>
        <w:t xml:space="preserve">GROUPS AND ROLES </w:t>
      </w:r>
    </w:p>
    <w:p w14:paraId="191B8E06" w14:textId="77777777" w:rsidR="007E48E8" w:rsidRDefault="00C942B6">
      <w:r>
        <w:t xml:space="preserve"> </w:t>
      </w:r>
    </w:p>
    <w:p w14:paraId="611C9967" w14:textId="3FEC3DE1" w:rsidR="00DD2090" w:rsidRDefault="00DD2090">
      <w:r>
        <w:t>ELIXIR AAI has a</w:t>
      </w:r>
      <w:r w:rsidR="00516120">
        <w:t xml:space="preserve"> service for managing ELIXIR users’ group memberships and roles in the groups they belong to.</w:t>
      </w:r>
      <w:r w:rsidR="0096316C">
        <w:t xml:space="preserve"> Management of groups is done in a web interface.</w:t>
      </w:r>
    </w:p>
    <w:p w14:paraId="442A0785" w14:textId="77777777" w:rsidR="00516120" w:rsidRDefault="00516120"/>
    <w:p w14:paraId="18577CE5" w14:textId="3062B06E" w:rsidR="00516120" w:rsidRDefault="00516120">
      <w:r>
        <w:t>Each user can belong to one or several groups. This is represented by the user having a “member” role in the group. A group member can have also arbitrary additional roles in the group, such as “secretary” or “chair”.</w:t>
      </w:r>
    </w:p>
    <w:p w14:paraId="1C136DA9" w14:textId="77777777" w:rsidR="00516120" w:rsidRDefault="00516120"/>
    <w:p w14:paraId="279A54FD" w14:textId="01BB53EA" w:rsidR="0096316C" w:rsidRDefault="00516120">
      <w:r>
        <w:t xml:space="preserve">Each group has one or several owners (members with a special role “owner”). The creator of a group becomes the initial owner of the group. The </w:t>
      </w:r>
      <w:r w:rsidR="0096316C">
        <w:t xml:space="preserve">group </w:t>
      </w:r>
      <w:r>
        <w:t xml:space="preserve">owner </w:t>
      </w:r>
      <w:r w:rsidR="0096316C">
        <w:t xml:space="preserve">is able to </w:t>
      </w:r>
    </w:p>
    <w:p w14:paraId="66EB4343" w14:textId="284BA174" w:rsidR="0096316C" w:rsidRDefault="0096316C" w:rsidP="0096316C">
      <w:pPr>
        <w:pStyle w:val="ListParagraph"/>
        <w:numPr>
          <w:ilvl w:val="0"/>
          <w:numId w:val="42"/>
        </w:numPr>
      </w:pPr>
      <w:r>
        <w:t>delegate group ownership to other members</w:t>
      </w:r>
    </w:p>
    <w:p w14:paraId="3861A41E" w14:textId="4A506B84" w:rsidR="0096316C" w:rsidRDefault="0096316C" w:rsidP="0096316C">
      <w:pPr>
        <w:pStyle w:val="ListParagraph"/>
        <w:numPr>
          <w:ilvl w:val="0"/>
          <w:numId w:val="42"/>
        </w:numPr>
      </w:pPr>
      <w:r>
        <w:lastRenderedPageBreak/>
        <w:t xml:space="preserve">manage </w:t>
      </w:r>
      <w:r w:rsidR="00516120">
        <w:t>the group</w:t>
      </w:r>
      <w:r w:rsidR="00A65DFB">
        <w:t>’</w:t>
      </w:r>
      <w:r w:rsidR="00516120">
        <w:t xml:space="preserve">s properties (such as name) </w:t>
      </w:r>
    </w:p>
    <w:p w14:paraId="4C6F4C36" w14:textId="77777777" w:rsidR="0096316C" w:rsidRDefault="00516120" w:rsidP="0096316C">
      <w:pPr>
        <w:pStyle w:val="ListParagraph"/>
        <w:numPr>
          <w:ilvl w:val="0"/>
          <w:numId w:val="42"/>
        </w:numPr>
      </w:pPr>
      <w:r>
        <w:t xml:space="preserve">invite </w:t>
      </w:r>
      <w:r w:rsidR="0096316C">
        <w:t xml:space="preserve">group members </w:t>
      </w:r>
      <w:r>
        <w:t>(requires</w:t>
      </w:r>
      <w:r w:rsidR="0096316C">
        <w:t xml:space="preserve"> confirmation by the invited user) </w:t>
      </w:r>
    </w:p>
    <w:p w14:paraId="6BEBB3C4" w14:textId="77777777" w:rsidR="0096316C" w:rsidRDefault="0096316C" w:rsidP="0096316C">
      <w:pPr>
        <w:pStyle w:val="ListParagraph"/>
        <w:numPr>
          <w:ilvl w:val="0"/>
          <w:numId w:val="42"/>
        </w:numPr>
      </w:pPr>
      <w:r>
        <w:t xml:space="preserve">add group members (no confirmation needed by the invited user) </w:t>
      </w:r>
    </w:p>
    <w:p w14:paraId="5517431A" w14:textId="10081326" w:rsidR="00516120" w:rsidRDefault="0096316C" w:rsidP="0096316C">
      <w:pPr>
        <w:pStyle w:val="ListParagraph"/>
        <w:numPr>
          <w:ilvl w:val="0"/>
          <w:numId w:val="42"/>
        </w:numPr>
      </w:pPr>
      <w:r>
        <w:t xml:space="preserve">remove group members </w:t>
      </w:r>
    </w:p>
    <w:p w14:paraId="6016E0AC" w14:textId="6996EE9F" w:rsidR="0096316C" w:rsidRDefault="0096316C" w:rsidP="0096316C">
      <w:pPr>
        <w:numPr>
          <w:ilvl w:val="0"/>
          <w:numId w:val="42"/>
        </w:numPr>
        <w:contextualSpacing/>
      </w:pPr>
      <w:r>
        <w:t>assign and delete additional attributes (roles) for users in the group</w:t>
      </w:r>
    </w:p>
    <w:p w14:paraId="2C30FF8E" w14:textId="77777777" w:rsidR="0096316C" w:rsidRDefault="0096316C" w:rsidP="0096316C">
      <w:pPr>
        <w:contextualSpacing/>
      </w:pPr>
    </w:p>
    <w:p w14:paraId="20D35832" w14:textId="5571C208" w:rsidR="0096316C" w:rsidRDefault="0096316C" w:rsidP="0096316C">
      <w:pPr>
        <w:contextualSpacing/>
      </w:pPr>
      <w:r>
        <w:t>The group owner needs to periodically confir</w:t>
      </w:r>
      <w:r w:rsidR="00A65DFB">
        <w:t>m that the group is still active</w:t>
      </w:r>
      <w:r>
        <w:t>.</w:t>
      </w:r>
    </w:p>
    <w:p w14:paraId="24826C80" w14:textId="77777777" w:rsidR="00516120" w:rsidRDefault="00516120"/>
    <w:p w14:paraId="650EAF69" w14:textId="2F4ED39F" w:rsidR="0096316C" w:rsidRDefault="0096316C">
      <w:r>
        <w:t>In the future, ELIXIR group management service can be integrated to external group management systems (e.g. VOOT or SCIM technology)</w:t>
      </w:r>
    </w:p>
    <w:p w14:paraId="57CFCEF3" w14:textId="2638F365" w:rsidR="007E48E8" w:rsidRDefault="00C00431">
      <w:pPr>
        <w:pStyle w:val="Heading1"/>
        <w:numPr>
          <w:ilvl w:val="0"/>
          <w:numId w:val="12"/>
        </w:numPr>
        <w:ind w:hanging="359"/>
      </w:pPr>
      <w:bookmarkStart w:id="6" w:name="h.r0mujoqkxyiu" w:colFirst="0" w:colLast="0"/>
      <w:bookmarkEnd w:id="6"/>
      <w:r>
        <w:t>BONA FIDE SERVICE</w:t>
      </w:r>
    </w:p>
    <w:p w14:paraId="74B80242" w14:textId="77777777" w:rsidR="00C00431" w:rsidRDefault="00C00431"/>
    <w:p w14:paraId="5A432DF9" w14:textId="08DFDB52" w:rsidR="007E48E8" w:rsidRDefault="00C00431">
      <w:r>
        <w:t xml:space="preserve">As described in section 1, any natural person is eligible to have an ELIXIR identity. On the other hand, use case analysis has demonstrated a need for certain “ELIXIR community membership” or “bona fide life science researcher” status which would qualify the user to </w:t>
      </w:r>
      <w:r w:rsidR="00590B40">
        <w:t xml:space="preserve">some </w:t>
      </w:r>
      <w:r>
        <w:t xml:space="preserve">basic </w:t>
      </w:r>
      <w:r w:rsidR="00D14D2D">
        <w:t>services. Those</w:t>
      </w:r>
      <w:r>
        <w:t xml:space="preserve"> services </w:t>
      </w:r>
      <w:r w:rsidR="00590B40">
        <w:t xml:space="preserve">cannot </w:t>
      </w:r>
      <w:r w:rsidR="00D14D2D">
        <w:t xml:space="preserve">be </w:t>
      </w:r>
      <w:r w:rsidR="00590B40">
        <w:t>made fully public (i.e. anyone with an ELIXIR identity) but, on the other hand, the administrational overhead for accessing the services is wanted to be kept in the minimum.</w:t>
      </w:r>
    </w:p>
    <w:p w14:paraId="097FF558" w14:textId="77777777" w:rsidR="00590B40" w:rsidRDefault="00590B40"/>
    <w:p w14:paraId="02AF90AE" w14:textId="352E99EB" w:rsidR="00590B40" w:rsidRDefault="00590B40">
      <w:r>
        <w:t>What exactly is required for receiving a status as a bona fide life science researcher is out of scope for this document. However, it is assumed to have the following components</w:t>
      </w:r>
    </w:p>
    <w:p w14:paraId="57C17EE9" w14:textId="65663A9C" w:rsidR="00590B40" w:rsidRDefault="00590B40" w:rsidP="00590B40">
      <w:pPr>
        <w:pStyle w:val="ListParagraph"/>
        <w:numPr>
          <w:ilvl w:val="0"/>
          <w:numId w:val="43"/>
        </w:numPr>
      </w:pPr>
      <w:r>
        <w:t xml:space="preserve">The </w:t>
      </w:r>
      <w:r w:rsidR="00D14D2D">
        <w:t xml:space="preserve">candidate </w:t>
      </w:r>
      <w:r>
        <w:t xml:space="preserve">must commit to </w:t>
      </w:r>
      <w:r w:rsidR="00D14D2D">
        <w:t xml:space="preserve">a </w:t>
      </w:r>
      <w:r>
        <w:t>certain community code</w:t>
      </w:r>
    </w:p>
    <w:p w14:paraId="53A1ADC4" w14:textId="376254D6" w:rsidR="00590B40" w:rsidRDefault="00590B40" w:rsidP="00590B40">
      <w:pPr>
        <w:pStyle w:val="ListParagraph"/>
        <w:numPr>
          <w:ilvl w:val="0"/>
          <w:numId w:val="43"/>
        </w:numPr>
      </w:pPr>
      <w:r>
        <w:t>The community must approve the bona fide status</w:t>
      </w:r>
      <w:r w:rsidR="00D14D2D">
        <w:t xml:space="preserve"> for the candidate</w:t>
      </w:r>
    </w:p>
    <w:p w14:paraId="71DE3584" w14:textId="77777777" w:rsidR="00C00431" w:rsidRDefault="00C00431"/>
    <w:p w14:paraId="086166D2" w14:textId="1102A842" w:rsidR="00590B40" w:rsidRDefault="00590B40">
      <w:r>
        <w:t>In ELIXIR AAI, “bona fide life science researchers” is a special group</w:t>
      </w:r>
      <w:r w:rsidR="007E3A8A">
        <w:t xml:space="preserve"> (see the previous section)</w:t>
      </w:r>
      <w:r>
        <w:t xml:space="preserve"> with the following properties:</w:t>
      </w:r>
    </w:p>
    <w:p w14:paraId="2D088549" w14:textId="03362791" w:rsidR="00590B40" w:rsidRDefault="00590B40" w:rsidP="00590B40">
      <w:pPr>
        <w:pStyle w:val="ListParagraph"/>
        <w:numPr>
          <w:ilvl w:val="0"/>
          <w:numId w:val="44"/>
        </w:numPr>
      </w:pPr>
      <w:r>
        <w:t>T</w:t>
      </w:r>
      <w:r w:rsidR="007E3A8A">
        <w:t>he group has a shared ownership. E</w:t>
      </w:r>
      <w:r>
        <w:t>ach ELIXIR organization ha</w:t>
      </w:r>
      <w:r w:rsidR="007E3A8A">
        <w:t>s</w:t>
      </w:r>
      <w:r>
        <w:t xml:space="preserve"> one person with the group owner role. That person can </w:t>
      </w:r>
      <w:r w:rsidR="00D14D2D">
        <w:t>invite, add or remove persons from</w:t>
      </w:r>
      <w:r>
        <w:t xml:space="preserve"> the group</w:t>
      </w:r>
    </w:p>
    <w:p w14:paraId="398C514F" w14:textId="7DEE311D" w:rsidR="00590B40" w:rsidRDefault="00590B40" w:rsidP="00590B40">
      <w:pPr>
        <w:pStyle w:val="ListParagraph"/>
        <w:numPr>
          <w:ilvl w:val="0"/>
          <w:numId w:val="44"/>
        </w:numPr>
      </w:pPr>
      <w:r>
        <w:t xml:space="preserve">Additionally, </w:t>
      </w:r>
      <w:r w:rsidR="00B541EE">
        <w:t>an alternative way to receive bona fide status is that five existing ELIXIR users with the bona fide status vouch for the candidate</w:t>
      </w:r>
    </w:p>
    <w:p w14:paraId="51F047FF" w14:textId="3F0EF356" w:rsidR="007E48E8" w:rsidRDefault="00C942B6">
      <w:pPr>
        <w:numPr>
          <w:ilvl w:val="0"/>
          <w:numId w:val="20"/>
        </w:numPr>
        <w:ind w:hanging="359"/>
        <w:contextualSpacing/>
      </w:pPr>
      <w:proofErr w:type="gramStart"/>
      <w:r>
        <w:t>else/what</w:t>
      </w:r>
      <w:proofErr w:type="gramEnd"/>
      <w:r>
        <w:t xml:space="preserve"> (the user has </w:t>
      </w:r>
      <w:r w:rsidR="00CD1AAB">
        <w:t>a publication in well-established life science magazine? Can thi</w:t>
      </w:r>
      <w:r w:rsidR="007E3A8A">
        <w:t xml:space="preserve">s workflow be automated e.g. via </w:t>
      </w:r>
      <w:r>
        <w:t>ORCID</w:t>
      </w:r>
      <w:r w:rsidR="007E3A8A">
        <w:t xml:space="preserve"> API</w:t>
      </w:r>
      <w:r>
        <w:t>?)</w:t>
      </w:r>
    </w:p>
    <w:p w14:paraId="0A06E4B2" w14:textId="77777777" w:rsidR="007E48E8" w:rsidRDefault="00C942B6">
      <w:r>
        <w:t xml:space="preserve"> </w:t>
      </w:r>
    </w:p>
    <w:p w14:paraId="4ED5932D" w14:textId="2533E56A" w:rsidR="00D14D2D" w:rsidRDefault="00D14D2D">
      <w:r>
        <w:t>The bona fide status is a property of a person and is not affected by his/her affiliation changes. However, the bona fide status expires over time and needs to be refreshed every ____ years.</w:t>
      </w:r>
      <w:r w:rsidR="00CD1AAB">
        <w:t xml:space="preserve"> The refresh procedure is similar to the initial procedure for receiving bona fide status.</w:t>
      </w:r>
      <w:r>
        <w:t xml:space="preserve"> </w:t>
      </w:r>
    </w:p>
    <w:p w14:paraId="1EF0E272" w14:textId="77777777" w:rsidR="007E48E8" w:rsidRDefault="007E48E8"/>
    <w:p w14:paraId="5C53CC02" w14:textId="7914C5A2" w:rsidR="007E48E8" w:rsidRDefault="00CD1AAB">
      <w:r>
        <w:t>ELIXIR AAI must store sufficient history and audit trail for a person’s bona fide status.</w:t>
      </w:r>
    </w:p>
    <w:p w14:paraId="15C63F7F" w14:textId="50C3643A" w:rsidR="007E48E8" w:rsidRDefault="00F93E3B">
      <w:pPr>
        <w:pStyle w:val="Heading1"/>
        <w:numPr>
          <w:ilvl w:val="0"/>
          <w:numId w:val="2"/>
        </w:numPr>
        <w:ind w:hanging="359"/>
      </w:pPr>
      <w:bookmarkStart w:id="7" w:name="h.wq45m1yoy8z3" w:colFirst="0" w:colLast="0"/>
      <w:bookmarkEnd w:id="7"/>
      <w:r>
        <w:t>Dataset entitlement management</w:t>
      </w:r>
    </w:p>
    <w:p w14:paraId="61C4D200" w14:textId="77777777" w:rsidR="00F93E3B" w:rsidRDefault="00F93E3B"/>
    <w:p w14:paraId="717EABA6" w14:textId="1F4420AB" w:rsidR="007E48E8" w:rsidRDefault="00F93E3B">
      <w:r>
        <w:lastRenderedPageBreak/>
        <w:t>ELIXIR AAI has</w:t>
      </w:r>
      <w:r w:rsidR="00C942B6">
        <w:t xml:space="preserve"> </w:t>
      </w:r>
      <w:r>
        <w:t xml:space="preserve">a workflow service </w:t>
      </w:r>
      <w:r w:rsidR="00FC3346">
        <w:t>dedicated for</w:t>
      </w:r>
      <w:r>
        <w:t xml:space="preserve"> the management of the ELIXIR users’ access rights to resources, especially </w:t>
      </w:r>
      <w:r w:rsidR="001A5FB6">
        <w:t xml:space="preserve">to </w:t>
      </w:r>
      <w:r>
        <w:t>sensitive datasets. The user applies for access rights to the datasets by filling in and submitting an electronic application with the necessary attachments. The application is then circulated to the individual or body (such as a Data Access Committee) evaluating the applications and approving or rejecting them</w:t>
      </w:r>
      <w:r w:rsidR="00D33994">
        <w:t xml:space="preserve"> or returning them for amendments</w:t>
      </w:r>
      <w:r>
        <w:t>. If approved, the members of the application receive access rights to the datasets applied.</w:t>
      </w:r>
    </w:p>
    <w:p w14:paraId="46E07930" w14:textId="77777777" w:rsidR="00F93E3B" w:rsidRDefault="00F93E3B"/>
    <w:p w14:paraId="0FFE5FE3" w14:textId="5604409A" w:rsidR="00C94561" w:rsidRDefault="00C94561">
      <w:r>
        <w:t>The service has the necessary functionality for reporting and audit trail of the entitlements granted.</w:t>
      </w:r>
    </w:p>
    <w:p w14:paraId="61AEF51E" w14:textId="77777777" w:rsidR="00C94561" w:rsidRDefault="00C94561"/>
    <w:p w14:paraId="0E18B20C" w14:textId="1A69C02C" w:rsidR="00F93E3B" w:rsidRDefault="00F93E3B">
      <w:r>
        <w:t>The entitlement service has interfaces for</w:t>
      </w:r>
    </w:p>
    <w:p w14:paraId="4EC5EEDF" w14:textId="4B41EAC8" w:rsidR="00F93E3B" w:rsidRDefault="00F93E3B" w:rsidP="00F93E3B">
      <w:pPr>
        <w:pStyle w:val="ListParagraph"/>
        <w:numPr>
          <w:ilvl w:val="0"/>
          <w:numId w:val="45"/>
        </w:numPr>
      </w:pPr>
      <w:r>
        <w:t>Importing dataset’s metadata from the data archive’s metadata catalogue</w:t>
      </w:r>
      <w:r w:rsidR="003002BE">
        <w:t xml:space="preserve"> for automated provisioning of the related application circulation workflows</w:t>
      </w:r>
    </w:p>
    <w:p w14:paraId="776A7CC8" w14:textId="4A31E89B" w:rsidR="003002BE" w:rsidRDefault="003002BE" w:rsidP="00F93E3B">
      <w:pPr>
        <w:pStyle w:val="ListParagraph"/>
        <w:numPr>
          <w:ilvl w:val="0"/>
          <w:numId w:val="45"/>
        </w:numPr>
      </w:pPr>
      <w:r>
        <w:t>Launching a data access application from an external source, such as the portal of the data archive</w:t>
      </w:r>
    </w:p>
    <w:p w14:paraId="4B565619" w14:textId="66206F99" w:rsidR="003002BE" w:rsidRDefault="003002BE" w:rsidP="00F93E3B">
      <w:pPr>
        <w:pStyle w:val="ListParagraph"/>
        <w:numPr>
          <w:ilvl w:val="0"/>
          <w:numId w:val="45"/>
        </w:numPr>
      </w:pPr>
      <w:r>
        <w:t>Exporting the entitlements to an external system for access rights enforcement</w:t>
      </w:r>
    </w:p>
    <w:p w14:paraId="7B5F3725" w14:textId="77777777" w:rsidR="00F93E3B" w:rsidRDefault="00F93E3B"/>
    <w:p w14:paraId="58665C3F" w14:textId="77777777" w:rsidR="007E48E8" w:rsidRDefault="00C942B6">
      <w:pPr>
        <w:pStyle w:val="Heading1"/>
        <w:numPr>
          <w:ilvl w:val="0"/>
          <w:numId w:val="24"/>
        </w:numPr>
        <w:ind w:hanging="359"/>
      </w:pPr>
      <w:bookmarkStart w:id="8" w:name="h.pzx1fv59gysi" w:colFirst="0" w:colLast="0"/>
      <w:bookmarkEnd w:id="8"/>
      <w:r>
        <w:t xml:space="preserve">ACCESS CONTROL LAYER </w:t>
      </w:r>
    </w:p>
    <w:p w14:paraId="69EDBD78" w14:textId="77777777" w:rsidR="007E48E8" w:rsidRDefault="00C942B6">
      <w:r>
        <w:t xml:space="preserve"> </w:t>
      </w:r>
    </w:p>
    <w:p w14:paraId="7C2F47B5" w14:textId="1BCC4185" w:rsidR="00C94561" w:rsidRDefault="00C94561">
      <w:r>
        <w:t>ELIXIR AAI defines a distributed interface for delivering access rights from the system component where they are granted and archived (Policy Decision Point, PDP) to the system component</w:t>
      </w:r>
      <w:r w:rsidR="00D33994">
        <w:t xml:space="preserve"> that enforces the access control</w:t>
      </w:r>
      <w:r>
        <w:t xml:space="preserve"> (Policy Enforcement Point, PEP). </w:t>
      </w:r>
      <w:r w:rsidR="00C43AF8">
        <w:t xml:space="preserve">A typical use scenario for the access control layer is the management of </w:t>
      </w:r>
      <w:r w:rsidR="00D33994">
        <w:t xml:space="preserve">the </w:t>
      </w:r>
      <w:r w:rsidR="00C43AF8">
        <w:t>access rights to sensitive datasets that are replicated to several data centers (PEP) but whose access rights are still granted centrally (PDP).</w:t>
      </w:r>
    </w:p>
    <w:p w14:paraId="22413D95" w14:textId="77777777" w:rsidR="00C43AF8" w:rsidRDefault="00C43AF8"/>
    <w:p w14:paraId="3F3478EF" w14:textId="6EFF641E" w:rsidR="00C43AF8" w:rsidRDefault="00C43AF8">
      <w:r>
        <w:t>A pull model (PEPs query the PDP on demand) is assumed for the access control layer, in order to enable quick revocati</w:t>
      </w:r>
      <w:r w:rsidR="00D33994">
        <w:t>on of access rights in all PEPs.</w:t>
      </w:r>
    </w:p>
    <w:p w14:paraId="648B202B" w14:textId="77777777" w:rsidR="00C43AF8" w:rsidRDefault="00C43AF8"/>
    <w:p w14:paraId="485E010A" w14:textId="503A6736" w:rsidR="00C43AF8" w:rsidRDefault="00C43AF8">
      <w:r>
        <w:t>Any particular technology is to be decided between the PDP and PEPs.</w:t>
      </w:r>
    </w:p>
    <w:sectPr w:rsidR="00C43AF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677D38" w14:textId="77777777" w:rsidR="00EF02C7" w:rsidRDefault="00EF02C7" w:rsidP="00EF02C7">
      <w:pPr>
        <w:spacing w:line="240" w:lineRule="auto"/>
      </w:pPr>
      <w:r>
        <w:separator/>
      </w:r>
    </w:p>
  </w:endnote>
  <w:endnote w:type="continuationSeparator" w:id="0">
    <w:p w14:paraId="42DA4BBD" w14:textId="77777777" w:rsidR="00EF02C7" w:rsidRDefault="00EF02C7" w:rsidP="00EF02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F870B8" w14:textId="77777777" w:rsidR="00EF02C7" w:rsidRDefault="00EF02C7" w:rsidP="00EF02C7">
      <w:pPr>
        <w:spacing w:line="240" w:lineRule="auto"/>
      </w:pPr>
      <w:r>
        <w:separator/>
      </w:r>
    </w:p>
  </w:footnote>
  <w:footnote w:type="continuationSeparator" w:id="0">
    <w:p w14:paraId="662F0A4C" w14:textId="77777777" w:rsidR="00EF02C7" w:rsidRDefault="00EF02C7" w:rsidP="00EF02C7">
      <w:pPr>
        <w:spacing w:line="240" w:lineRule="auto"/>
      </w:pPr>
      <w:r>
        <w:continuationSeparator/>
      </w:r>
    </w:p>
  </w:footnote>
  <w:footnote w:id="1">
    <w:p w14:paraId="03CCB6AE" w14:textId="1C27717F" w:rsidR="00EF02C7" w:rsidRPr="00EF02C7" w:rsidRDefault="00EF02C7">
      <w:pPr>
        <w:pStyle w:val="FootnoteText"/>
        <w:rPr>
          <w:lang w:val="fi-FI"/>
        </w:rPr>
      </w:pPr>
      <w:r>
        <w:rPr>
          <w:rStyle w:val="FootnoteReference"/>
        </w:rPr>
        <w:footnoteRef/>
      </w:r>
      <w:r>
        <w:t xml:space="preserve"> </w:t>
      </w:r>
      <w:hyperlink r:id="rId1">
        <w:r>
          <w:rPr>
            <w:rFonts w:ascii="Calibri" w:eastAsia="Calibri" w:hAnsi="Calibri" w:cs="Calibri"/>
            <w:color w:val="0563C1"/>
            <w:u w:val="single"/>
          </w:rPr>
          <w:t>http://paulgorman.org/technical/presentations/linux_username_conventions.pdf</w:t>
        </w:r>
      </w:hyperlink>
    </w:p>
  </w:footnote>
  <w:footnote w:id="2">
    <w:p w14:paraId="1969ED34" w14:textId="09D20B08" w:rsidR="0035688B" w:rsidRPr="0035688B" w:rsidRDefault="0035688B">
      <w:pPr>
        <w:pStyle w:val="FootnoteText"/>
        <w:rPr>
          <w:lang w:val="fi-FI"/>
        </w:rPr>
      </w:pPr>
      <w:r>
        <w:rPr>
          <w:rStyle w:val="FootnoteReference"/>
        </w:rPr>
        <w:footnoteRef/>
      </w:r>
      <w:r w:rsidRPr="0035688B">
        <w:rPr>
          <w:lang w:val="fi-FI"/>
        </w:rPr>
        <w:t xml:space="preserve"> http://software.internet2.edu/eduperson/internet2-mace-dir-eduperson-201310.html#eduPersonScopedAffiliation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90B6C"/>
    <w:multiLevelType w:val="multilevel"/>
    <w:tmpl w:val="B50860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4FB2E05"/>
    <w:multiLevelType w:val="hybridMultilevel"/>
    <w:tmpl w:val="565A2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595DD2"/>
    <w:multiLevelType w:val="multilevel"/>
    <w:tmpl w:val="FDA07C0A"/>
    <w:lvl w:ilvl="0">
      <w:start w:val="2"/>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3">
    <w:nsid w:val="0C1A0628"/>
    <w:multiLevelType w:val="hybridMultilevel"/>
    <w:tmpl w:val="DB04A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B477F9"/>
    <w:multiLevelType w:val="hybridMultilevel"/>
    <w:tmpl w:val="BF223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9D098D"/>
    <w:multiLevelType w:val="multilevel"/>
    <w:tmpl w:val="2788F0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16B02108"/>
    <w:multiLevelType w:val="hybridMultilevel"/>
    <w:tmpl w:val="E3585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C74422"/>
    <w:multiLevelType w:val="multilevel"/>
    <w:tmpl w:val="02C81A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19B01B3D"/>
    <w:multiLevelType w:val="multilevel"/>
    <w:tmpl w:val="31D04C98"/>
    <w:lvl w:ilvl="0">
      <w:start w:val="6"/>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9">
    <w:nsid w:val="1F0A6FA5"/>
    <w:multiLevelType w:val="hybridMultilevel"/>
    <w:tmpl w:val="D5048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5D72C7"/>
    <w:multiLevelType w:val="hybridMultilevel"/>
    <w:tmpl w:val="0B0E6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B85A0E"/>
    <w:multiLevelType w:val="hybridMultilevel"/>
    <w:tmpl w:val="208CE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BC7B75"/>
    <w:multiLevelType w:val="hybridMultilevel"/>
    <w:tmpl w:val="1B0C2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80658F"/>
    <w:multiLevelType w:val="multilevel"/>
    <w:tmpl w:val="E8909B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22F247F0"/>
    <w:multiLevelType w:val="multilevel"/>
    <w:tmpl w:val="F2BCA1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27994FEF"/>
    <w:multiLevelType w:val="multilevel"/>
    <w:tmpl w:val="7ACC5122"/>
    <w:lvl w:ilvl="0">
      <w:start w:val="3"/>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6">
    <w:nsid w:val="27C31800"/>
    <w:multiLevelType w:val="multilevel"/>
    <w:tmpl w:val="E466D0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288370B5"/>
    <w:multiLevelType w:val="hybridMultilevel"/>
    <w:tmpl w:val="60867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A7749D"/>
    <w:multiLevelType w:val="multilevel"/>
    <w:tmpl w:val="F072E7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3435142E"/>
    <w:multiLevelType w:val="multilevel"/>
    <w:tmpl w:val="9A78852C"/>
    <w:lvl w:ilvl="0">
      <w:start w:val="4"/>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20">
    <w:nsid w:val="36E40C33"/>
    <w:multiLevelType w:val="multilevel"/>
    <w:tmpl w:val="5FB4FD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3F00245B"/>
    <w:multiLevelType w:val="hybridMultilevel"/>
    <w:tmpl w:val="EEB08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DA1929"/>
    <w:multiLevelType w:val="multilevel"/>
    <w:tmpl w:val="02188DE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3">
    <w:nsid w:val="4B2F077F"/>
    <w:multiLevelType w:val="multilevel"/>
    <w:tmpl w:val="6C740B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4CB50FA8"/>
    <w:multiLevelType w:val="multilevel"/>
    <w:tmpl w:val="97B0CE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nsid w:val="4CC978BB"/>
    <w:multiLevelType w:val="hybridMultilevel"/>
    <w:tmpl w:val="89948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B85548"/>
    <w:multiLevelType w:val="multilevel"/>
    <w:tmpl w:val="DBBC564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4E8D2FF3"/>
    <w:multiLevelType w:val="multilevel"/>
    <w:tmpl w:val="723E2D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nsid w:val="534264F5"/>
    <w:multiLevelType w:val="hybridMultilevel"/>
    <w:tmpl w:val="C8B2C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864F2A"/>
    <w:multiLevelType w:val="multilevel"/>
    <w:tmpl w:val="88E086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nsid w:val="56F67145"/>
    <w:multiLevelType w:val="multilevel"/>
    <w:tmpl w:val="8D7421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nsid w:val="57D26EC9"/>
    <w:multiLevelType w:val="hybridMultilevel"/>
    <w:tmpl w:val="AFC48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8E108BA"/>
    <w:multiLevelType w:val="hybridMultilevel"/>
    <w:tmpl w:val="E1C4A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A2E65AF"/>
    <w:multiLevelType w:val="hybridMultilevel"/>
    <w:tmpl w:val="7856F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C8D6139"/>
    <w:multiLevelType w:val="multilevel"/>
    <w:tmpl w:val="480EC5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nsid w:val="5D08494A"/>
    <w:multiLevelType w:val="multilevel"/>
    <w:tmpl w:val="DB68C0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nsid w:val="5F371161"/>
    <w:multiLevelType w:val="hybridMultilevel"/>
    <w:tmpl w:val="ADB45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5FD61F7"/>
    <w:multiLevelType w:val="hybridMultilevel"/>
    <w:tmpl w:val="30209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83B60EB"/>
    <w:multiLevelType w:val="multilevel"/>
    <w:tmpl w:val="C2F847B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9">
    <w:nsid w:val="6A481EEE"/>
    <w:multiLevelType w:val="multilevel"/>
    <w:tmpl w:val="75E40F98"/>
    <w:lvl w:ilvl="0">
      <w:start w:val="5"/>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40">
    <w:nsid w:val="6BF55671"/>
    <w:multiLevelType w:val="multilevel"/>
    <w:tmpl w:val="D366A0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1">
    <w:nsid w:val="6F0729BB"/>
    <w:multiLevelType w:val="multilevel"/>
    <w:tmpl w:val="255EFCFE"/>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42">
    <w:nsid w:val="70831760"/>
    <w:multiLevelType w:val="multilevel"/>
    <w:tmpl w:val="0AE200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3">
    <w:nsid w:val="726E37C8"/>
    <w:multiLevelType w:val="hybridMultilevel"/>
    <w:tmpl w:val="78BE9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DFB59ED"/>
    <w:multiLevelType w:val="hybridMultilevel"/>
    <w:tmpl w:val="30A48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39"/>
  </w:num>
  <w:num w:numId="3">
    <w:abstractNumId w:val="30"/>
  </w:num>
  <w:num w:numId="4">
    <w:abstractNumId w:val="42"/>
  </w:num>
  <w:num w:numId="5">
    <w:abstractNumId w:val="26"/>
  </w:num>
  <w:num w:numId="6">
    <w:abstractNumId w:val="5"/>
  </w:num>
  <w:num w:numId="7">
    <w:abstractNumId w:val="23"/>
  </w:num>
  <w:num w:numId="8">
    <w:abstractNumId w:val="38"/>
  </w:num>
  <w:num w:numId="9">
    <w:abstractNumId w:val="14"/>
  </w:num>
  <w:num w:numId="10">
    <w:abstractNumId w:val="41"/>
  </w:num>
  <w:num w:numId="11">
    <w:abstractNumId w:val="13"/>
  </w:num>
  <w:num w:numId="12">
    <w:abstractNumId w:val="19"/>
  </w:num>
  <w:num w:numId="13">
    <w:abstractNumId w:val="16"/>
  </w:num>
  <w:num w:numId="14">
    <w:abstractNumId w:val="35"/>
  </w:num>
  <w:num w:numId="15">
    <w:abstractNumId w:val="27"/>
  </w:num>
  <w:num w:numId="16">
    <w:abstractNumId w:val="22"/>
  </w:num>
  <w:num w:numId="17">
    <w:abstractNumId w:val="20"/>
  </w:num>
  <w:num w:numId="18">
    <w:abstractNumId w:val="18"/>
  </w:num>
  <w:num w:numId="19">
    <w:abstractNumId w:val="40"/>
  </w:num>
  <w:num w:numId="20">
    <w:abstractNumId w:val="0"/>
  </w:num>
  <w:num w:numId="21">
    <w:abstractNumId w:val="7"/>
  </w:num>
  <w:num w:numId="22">
    <w:abstractNumId w:val="15"/>
  </w:num>
  <w:num w:numId="23">
    <w:abstractNumId w:val="2"/>
  </w:num>
  <w:num w:numId="24">
    <w:abstractNumId w:val="8"/>
  </w:num>
  <w:num w:numId="25">
    <w:abstractNumId w:val="34"/>
  </w:num>
  <w:num w:numId="26">
    <w:abstractNumId w:val="29"/>
  </w:num>
  <w:num w:numId="27">
    <w:abstractNumId w:val="28"/>
  </w:num>
  <w:num w:numId="28">
    <w:abstractNumId w:val="9"/>
  </w:num>
  <w:num w:numId="29">
    <w:abstractNumId w:val="10"/>
  </w:num>
  <w:num w:numId="30">
    <w:abstractNumId w:val="4"/>
  </w:num>
  <w:num w:numId="31">
    <w:abstractNumId w:val="21"/>
  </w:num>
  <w:num w:numId="32">
    <w:abstractNumId w:val="3"/>
  </w:num>
  <w:num w:numId="33">
    <w:abstractNumId w:val="6"/>
  </w:num>
  <w:num w:numId="34">
    <w:abstractNumId w:val="1"/>
  </w:num>
  <w:num w:numId="35">
    <w:abstractNumId w:val="32"/>
  </w:num>
  <w:num w:numId="36">
    <w:abstractNumId w:val="11"/>
  </w:num>
  <w:num w:numId="37">
    <w:abstractNumId w:val="43"/>
  </w:num>
  <w:num w:numId="38">
    <w:abstractNumId w:val="44"/>
  </w:num>
  <w:num w:numId="39">
    <w:abstractNumId w:val="17"/>
  </w:num>
  <w:num w:numId="40">
    <w:abstractNumId w:val="25"/>
  </w:num>
  <w:num w:numId="41">
    <w:abstractNumId w:val="12"/>
  </w:num>
  <w:num w:numId="42">
    <w:abstractNumId w:val="36"/>
  </w:num>
  <w:num w:numId="43">
    <w:abstractNumId w:val="31"/>
  </w:num>
  <w:num w:numId="44">
    <w:abstractNumId w:val="33"/>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E48E8"/>
    <w:rsid w:val="00045673"/>
    <w:rsid w:val="000555AA"/>
    <w:rsid w:val="000A4FD8"/>
    <w:rsid w:val="000B2AB3"/>
    <w:rsid w:val="0017053E"/>
    <w:rsid w:val="001A5FB6"/>
    <w:rsid w:val="00221F25"/>
    <w:rsid w:val="002A1110"/>
    <w:rsid w:val="002B3812"/>
    <w:rsid w:val="003002BE"/>
    <w:rsid w:val="0030282D"/>
    <w:rsid w:val="00335C6D"/>
    <w:rsid w:val="0035688B"/>
    <w:rsid w:val="003A3F3B"/>
    <w:rsid w:val="003D199B"/>
    <w:rsid w:val="00516120"/>
    <w:rsid w:val="00577B50"/>
    <w:rsid w:val="00590B40"/>
    <w:rsid w:val="00665EA1"/>
    <w:rsid w:val="007E3A8A"/>
    <w:rsid w:val="007E48E8"/>
    <w:rsid w:val="007E6D1B"/>
    <w:rsid w:val="00805816"/>
    <w:rsid w:val="00824C62"/>
    <w:rsid w:val="00863893"/>
    <w:rsid w:val="00916324"/>
    <w:rsid w:val="00941229"/>
    <w:rsid w:val="0096316C"/>
    <w:rsid w:val="009903AB"/>
    <w:rsid w:val="00991B35"/>
    <w:rsid w:val="009E4A97"/>
    <w:rsid w:val="009F18B4"/>
    <w:rsid w:val="00A06ADC"/>
    <w:rsid w:val="00A65DFB"/>
    <w:rsid w:val="00AE2428"/>
    <w:rsid w:val="00B411A4"/>
    <w:rsid w:val="00B541EE"/>
    <w:rsid w:val="00BB6D46"/>
    <w:rsid w:val="00C00431"/>
    <w:rsid w:val="00C00B4A"/>
    <w:rsid w:val="00C43AF8"/>
    <w:rsid w:val="00C466A2"/>
    <w:rsid w:val="00C942B6"/>
    <w:rsid w:val="00C94561"/>
    <w:rsid w:val="00CD1AAB"/>
    <w:rsid w:val="00CD299F"/>
    <w:rsid w:val="00D14D2D"/>
    <w:rsid w:val="00D33994"/>
    <w:rsid w:val="00D62116"/>
    <w:rsid w:val="00DD2090"/>
    <w:rsid w:val="00E66C08"/>
    <w:rsid w:val="00EA6380"/>
    <w:rsid w:val="00EF02C7"/>
    <w:rsid w:val="00F7202B"/>
    <w:rsid w:val="00F93E3B"/>
    <w:rsid w:val="00F947BC"/>
    <w:rsid w:val="00F96E8C"/>
    <w:rsid w:val="00FC3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9EAAD"/>
  <w15:docId w15:val="{FFC10A6B-89C6-4700-BE90-2A14778A4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pPr>
      <w:spacing w:line="240" w:lineRule="auto"/>
    </w:pPr>
    <w:rPr>
      <w:sz w:val="20"/>
    </w:rPr>
  </w:style>
  <w:style w:type="character" w:customStyle="1" w:styleId="CommentTextChar">
    <w:name w:val="Comment Text Char"/>
    <w:basedOn w:val="DefaultParagraphFont"/>
    <w:link w:val="CommentText"/>
    <w:uiPriority w:val="99"/>
    <w:semiHidden/>
    <w:rPr>
      <w:sz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F02C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2C7"/>
    <w:rPr>
      <w:rFonts w:ascii="Segoe UI" w:hAnsi="Segoe UI" w:cs="Segoe UI"/>
      <w:sz w:val="18"/>
      <w:szCs w:val="18"/>
    </w:rPr>
  </w:style>
  <w:style w:type="paragraph" w:styleId="ListParagraph">
    <w:name w:val="List Paragraph"/>
    <w:basedOn w:val="Normal"/>
    <w:uiPriority w:val="34"/>
    <w:qFormat/>
    <w:rsid w:val="00EF02C7"/>
    <w:pPr>
      <w:ind w:left="720"/>
      <w:contextualSpacing/>
    </w:pPr>
  </w:style>
  <w:style w:type="paragraph" w:styleId="FootnoteText">
    <w:name w:val="footnote text"/>
    <w:basedOn w:val="Normal"/>
    <w:link w:val="FootnoteTextChar"/>
    <w:uiPriority w:val="99"/>
    <w:semiHidden/>
    <w:unhideWhenUsed/>
    <w:rsid w:val="00EF02C7"/>
    <w:pPr>
      <w:spacing w:line="240" w:lineRule="auto"/>
    </w:pPr>
    <w:rPr>
      <w:sz w:val="20"/>
    </w:rPr>
  </w:style>
  <w:style w:type="character" w:customStyle="1" w:styleId="FootnoteTextChar">
    <w:name w:val="Footnote Text Char"/>
    <w:basedOn w:val="DefaultParagraphFont"/>
    <w:link w:val="FootnoteText"/>
    <w:uiPriority w:val="99"/>
    <w:semiHidden/>
    <w:rsid w:val="00EF02C7"/>
    <w:rPr>
      <w:sz w:val="20"/>
    </w:rPr>
  </w:style>
  <w:style w:type="character" w:styleId="FootnoteReference">
    <w:name w:val="footnote reference"/>
    <w:basedOn w:val="DefaultParagraphFont"/>
    <w:uiPriority w:val="99"/>
    <w:semiHidden/>
    <w:unhideWhenUsed/>
    <w:rsid w:val="00EF02C7"/>
    <w:rPr>
      <w:vertAlign w:val="superscript"/>
    </w:rPr>
  </w:style>
  <w:style w:type="character" w:styleId="Hyperlink">
    <w:name w:val="Hyperlink"/>
    <w:basedOn w:val="DefaultParagraphFont"/>
    <w:uiPriority w:val="99"/>
    <w:unhideWhenUsed/>
    <w:rsid w:val="00CD299F"/>
    <w:rPr>
      <w:color w:val="0563C1" w:themeColor="hyperlink"/>
      <w:u w:val="single"/>
    </w:rPr>
  </w:style>
  <w:style w:type="table" w:styleId="TableGrid">
    <w:name w:val="Table Grid"/>
    <w:basedOn w:val="TableNormal"/>
    <w:uiPriority w:val="39"/>
    <w:rsid w:val="0035688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Mikael.linden@csc.fi/19.2.2015" TargetMode="External"/><Relationship Id="rId13" Type="http://schemas.openxmlformats.org/officeDocument/2006/relationships/hyperlink" Target="http://tiqr.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smith@universityx.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obs@elixir-europe.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ember@ebi.ac.uk" TargetMode="External"/><Relationship Id="rId4" Type="http://schemas.openxmlformats.org/officeDocument/2006/relationships/settings" Target="settings.xml"/><Relationship Id="rId9" Type="http://schemas.openxmlformats.org/officeDocument/2006/relationships/hyperlink" Target="mailto:faculty@helsinki.fi"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paulgorman.org/technical/presentations/linux_username_conven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61662-60FE-4D6D-8820-FA6950EF4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8</Pages>
  <Words>2526</Words>
  <Characters>14401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ELIXIR AAI requirements.docx</vt:lpstr>
    </vt:vector>
  </TitlesOfParts>
  <Company>CSC</Company>
  <LinksUpToDate>false</LinksUpToDate>
  <CharactersWithSpaces>16894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ELIXIR AAI requirements.docx</dc:title>
  <dc:creator>Mikael Linden</dc:creator>
  <cp:lastModifiedBy>Mikael Linden</cp:lastModifiedBy>
  <cp:revision>24</cp:revision>
  <dcterms:created xsi:type="dcterms:W3CDTF">2015-02-18T08:00:00Z</dcterms:created>
  <dcterms:modified xsi:type="dcterms:W3CDTF">2015-02-19T14:44:00Z</dcterms:modified>
</cp:coreProperties>
</file>